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C8E" w:rsidRDefault="00C97C8E" w:rsidP="00C97C8E">
      <w:pPr>
        <w:spacing w:line="360" w:lineRule="auto"/>
        <w:jc w:val="center"/>
        <w:rPr>
          <w:sz w:val="44"/>
          <w:szCs w:val="44"/>
        </w:rPr>
      </w:pPr>
    </w:p>
    <w:p w:rsidR="00C97C8E" w:rsidRDefault="00C97C8E" w:rsidP="00C97C8E">
      <w:pPr>
        <w:spacing w:line="360" w:lineRule="auto"/>
        <w:rPr>
          <w:sz w:val="44"/>
          <w:szCs w:val="44"/>
        </w:rPr>
      </w:pPr>
    </w:p>
    <w:p w:rsidR="00C97C8E" w:rsidRDefault="00C97C8E" w:rsidP="00C97C8E">
      <w:pPr>
        <w:spacing w:line="360" w:lineRule="auto"/>
        <w:jc w:val="center"/>
        <w:rPr>
          <w:sz w:val="44"/>
          <w:szCs w:val="44"/>
        </w:rPr>
      </w:pPr>
    </w:p>
    <w:p w:rsidR="00C97C8E" w:rsidRDefault="00C97C8E" w:rsidP="00C97C8E">
      <w:pPr>
        <w:spacing w:line="360" w:lineRule="auto"/>
        <w:jc w:val="center"/>
        <w:rPr>
          <w:b/>
          <w:sz w:val="48"/>
          <w:szCs w:val="48"/>
        </w:rPr>
      </w:pPr>
      <w:r>
        <w:rPr>
          <w:rFonts w:hint="eastAsia"/>
          <w:b/>
          <w:sz w:val="48"/>
          <w:szCs w:val="48"/>
        </w:rPr>
        <w:t>期货品种性质研究进展报告</w:t>
      </w:r>
    </w:p>
    <w:p w:rsidR="00C97C8E" w:rsidRDefault="00C97C8E" w:rsidP="00C97C8E">
      <w:pPr>
        <w:spacing w:line="360" w:lineRule="auto"/>
        <w:jc w:val="center"/>
        <w:rPr>
          <w:sz w:val="44"/>
          <w:szCs w:val="44"/>
        </w:rPr>
      </w:pPr>
    </w:p>
    <w:p w:rsidR="00C97C8E" w:rsidRDefault="00C97C8E" w:rsidP="00C97C8E">
      <w:pPr>
        <w:spacing w:line="360" w:lineRule="auto"/>
        <w:jc w:val="center"/>
        <w:rPr>
          <w:sz w:val="44"/>
          <w:szCs w:val="44"/>
        </w:rPr>
      </w:pPr>
    </w:p>
    <w:p w:rsidR="00C97C8E" w:rsidRDefault="00C97C8E" w:rsidP="00C97C8E">
      <w:pPr>
        <w:spacing w:line="360" w:lineRule="auto"/>
        <w:jc w:val="center"/>
        <w:rPr>
          <w:sz w:val="44"/>
          <w:szCs w:val="44"/>
        </w:rPr>
      </w:pPr>
    </w:p>
    <w:p w:rsidR="00C97C8E" w:rsidRDefault="00C97C8E" w:rsidP="00C97C8E">
      <w:pPr>
        <w:spacing w:line="360" w:lineRule="auto"/>
        <w:rPr>
          <w:b/>
          <w:sz w:val="44"/>
          <w:szCs w:val="44"/>
        </w:rPr>
      </w:pPr>
    </w:p>
    <w:p w:rsidR="00C97C8E" w:rsidRDefault="00C97C8E" w:rsidP="00C97C8E">
      <w:pPr>
        <w:spacing w:line="360" w:lineRule="auto"/>
        <w:jc w:val="center"/>
        <w:rPr>
          <w:b/>
          <w:sz w:val="44"/>
          <w:szCs w:val="44"/>
        </w:rPr>
      </w:pPr>
      <w:r>
        <w:rPr>
          <w:rFonts w:hint="eastAsia"/>
          <w:b/>
          <w:sz w:val="44"/>
          <w:szCs w:val="44"/>
        </w:rPr>
        <w:t>山东大学齐鲁证券金融研究院</w:t>
      </w:r>
    </w:p>
    <w:p w:rsidR="00C97C8E" w:rsidRDefault="00C97C8E" w:rsidP="00C97C8E">
      <w:pPr>
        <w:spacing w:line="360" w:lineRule="auto"/>
        <w:jc w:val="center"/>
        <w:rPr>
          <w:sz w:val="44"/>
          <w:szCs w:val="44"/>
        </w:rPr>
      </w:pPr>
    </w:p>
    <w:p w:rsidR="00C97C8E" w:rsidRDefault="00C97C8E" w:rsidP="00C97C8E">
      <w:pPr>
        <w:spacing w:line="360" w:lineRule="auto"/>
        <w:jc w:val="center"/>
        <w:rPr>
          <w:sz w:val="44"/>
          <w:szCs w:val="44"/>
        </w:rPr>
      </w:pPr>
    </w:p>
    <w:p w:rsidR="00C97C8E" w:rsidRDefault="00C97C8E" w:rsidP="00C97C8E">
      <w:pPr>
        <w:spacing w:line="360" w:lineRule="auto"/>
        <w:jc w:val="center"/>
        <w:rPr>
          <w:b/>
          <w:bCs/>
          <w:sz w:val="44"/>
          <w:szCs w:val="44"/>
        </w:rPr>
      </w:pPr>
      <w:r>
        <w:rPr>
          <w:rFonts w:hint="eastAsia"/>
          <w:b/>
          <w:bCs/>
          <w:sz w:val="44"/>
          <w:szCs w:val="44"/>
        </w:rPr>
        <w:t>期货各品种基础性质研究课题组</w:t>
      </w:r>
    </w:p>
    <w:p w:rsidR="00C97C8E" w:rsidRDefault="00C97C8E" w:rsidP="00C97C8E">
      <w:pPr>
        <w:spacing w:line="360" w:lineRule="auto"/>
        <w:jc w:val="center"/>
        <w:rPr>
          <w:b/>
          <w:bCs/>
          <w:sz w:val="44"/>
          <w:szCs w:val="44"/>
        </w:rPr>
      </w:pPr>
    </w:p>
    <w:p w:rsidR="00C97C8E" w:rsidRDefault="00C97C8E" w:rsidP="00C97C8E">
      <w:pPr>
        <w:spacing w:line="360" w:lineRule="auto"/>
        <w:jc w:val="center"/>
        <w:rPr>
          <w:b/>
          <w:bCs/>
          <w:sz w:val="44"/>
          <w:szCs w:val="44"/>
        </w:rPr>
      </w:pPr>
    </w:p>
    <w:p w:rsidR="00C97C8E" w:rsidRDefault="00C97C8E" w:rsidP="00C97C8E">
      <w:pPr>
        <w:spacing w:line="360" w:lineRule="auto"/>
        <w:jc w:val="center"/>
        <w:rPr>
          <w:b/>
          <w:bCs/>
          <w:sz w:val="44"/>
          <w:szCs w:val="44"/>
        </w:rPr>
      </w:pPr>
      <w:r>
        <w:rPr>
          <w:rFonts w:hint="eastAsia"/>
          <w:b/>
          <w:bCs/>
          <w:sz w:val="44"/>
          <w:szCs w:val="44"/>
        </w:rPr>
        <w:t>项目负责人：</w:t>
      </w:r>
      <w:proofErr w:type="gramStart"/>
      <w:r>
        <w:rPr>
          <w:rFonts w:hint="eastAsia"/>
          <w:b/>
          <w:bCs/>
          <w:sz w:val="44"/>
          <w:szCs w:val="44"/>
        </w:rPr>
        <w:t>嵇</w:t>
      </w:r>
      <w:proofErr w:type="gramEnd"/>
      <w:r>
        <w:rPr>
          <w:rFonts w:hint="eastAsia"/>
          <w:b/>
          <w:bCs/>
          <w:sz w:val="44"/>
          <w:szCs w:val="44"/>
        </w:rPr>
        <w:t>少林</w:t>
      </w:r>
      <w:r>
        <w:rPr>
          <w:b/>
          <w:bCs/>
          <w:sz w:val="44"/>
          <w:szCs w:val="44"/>
        </w:rPr>
        <w:t xml:space="preserve"> </w:t>
      </w:r>
      <w:r>
        <w:rPr>
          <w:rFonts w:hint="eastAsia"/>
          <w:b/>
          <w:bCs/>
          <w:sz w:val="44"/>
          <w:szCs w:val="44"/>
        </w:rPr>
        <w:t>教授</w:t>
      </w:r>
    </w:p>
    <w:p w:rsidR="00C97C8E" w:rsidRDefault="00C97C8E" w:rsidP="00C97C8E">
      <w:pPr>
        <w:spacing w:line="360" w:lineRule="auto"/>
        <w:jc w:val="center"/>
        <w:rPr>
          <w:b/>
          <w:bCs/>
          <w:sz w:val="44"/>
          <w:szCs w:val="44"/>
        </w:rPr>
      </w:pPr>
    </w:p>
    <w:p w:rsidR="00C97C8E" w:rsidRDefault="00C97C8E" w:rsidP="00C97C8E">
      <w:pPr>
        <w:widowControl/>
        <w:ind w:leftChars="677" w:left="4253" w:hangingChars="641" w:hanging="2831"/>
        <w:jc w:val="left"/>
        <w:rPr>
          <w:rFonts w:hint="eastAsia"/>
          <w:b/>
          <w:bCs/>
          <w:sz w:val="44"/>
          <w:szCs w:val="44"/>
        </w:rPr>
      </w:pPr>
      <w:r>
        <w:rPr>
          <w:rFonts w:hint="eastAsia"/>
          <w:b/>
          <w:bCs/>
          <w:sz w:val="44"/>
          <w:szCs w:val="44"/>
        </w:rPr>
        <w:t>项目组成员：刘</w:t>
      </w:r>
      <w:proofErr w:type="gramStart"/>
      <w:r>
        <w:rPr>
          <w:rFonts w:hint="eastAsia"/>
          <w:b/>
          <w:bCs/>
          <w:sz w:val="44"/>
          <w:szCs w:val="44"/>
        </w:rPr>
        <w:t>浩</w:t>
      </w:r>
      <w:proofErr w:type="gramEnd"/>
      <w:r>
        <w:rPr>
          <w:rFonts w:hint="eastAsia"/>
          <w:b/>
          <w:bCs/>
          <w:sz w:val="44"/>
          <w:szCs w:val="44"/>
        </w:rPr>
        <w:t>东</w:t>
      </w:r>
      <w:r>
        <w:rPr>
          <w:rFonts w:hint="eastAsia"/>
          <w:b/>
          <w:bCs/>
          <w:sz w:val="44"/>
          <w:szCs w:val="44"/>
        </w:rPr>
        <w:t xml:space="preserve"> </w:t>
      </w:r>
      <w:r>
        <w:rPr>
          <w:rFonts w:hint="eastAsia"/>
          <w:b/>
          <w:bCs/>
          <w:sz w:val="44"/>
          <w:szCs w:val="44"/>
        </w:rPr>
        <w:t>时晓敏</w:t>
      </w:r>
      <w:r>
        <w:rPr>
          <w:rFonts w:hint="eastAsia"/>
          <w:b/>
          <w:bCs/>
          <w:sz w:val="44"/>
          <w:szCs w:val="44"/>
        </w:rPr>
        <w:t xml:space="preserve"> </w:t>
      </w:r>
      <w:r>
        <w:rPr>
          <w:rFonts w:hint="eastAsia"/>
          <w:b/>
          <w:bCs/>
          <w:sz w:val="44"/>
          <w:szCs w:val="44"/>
        </w:rPr>
        <w:t>陈俊</w:t>
      </w:r>
      <w:r>
        <w:rPr>
          <w:rFonts w:hint="eastAsia"/>
          <w:b/>
          <w:bCs/>
          <w:sz w:val="44"/>
          <w:szCs w:val="44"/>
        </w:rPr>
        <w:t xml:space="preserve"> </w:t>
      </w:r>
      <w:r>
        <w:rPr>
          <w:rFonts w:hint="eastAsia"/>
          <w:b/>
          <w:bCs/>
          <w:sz w:val="44"/>
          <w:szCs w:val="44"/>
        </w:rPr>
        <w:t>孔垂柳</w:t>
      </w:r>
      <w:r>
        <w:rPr>
          <w:b/>
          <w:bCs/>
          <w:sz w:val="44"/>
          <w:szCs w:val="44"/>
        </w:rPr>
        <w:t xml:space="preserve"> </w:t>
      </w:r>
      <w:r>
        <w:rPr>
          <w:rFonts w:hint="eastAsia"/>
          <w:b/>
          <w:bCs/>
          <w:sz w:val="44"/>
          <w:szCs w:val="44"/>
        </w:rPr>
        <w:t>王丽</w:t>
      </w:r>
      <w:r>
        <w:rPr>
          <w:rFonts w:hint="eastAsia"/>
          <w:b/>
          <w:bCs/>
          <w:sz w:val="44"/>
          <w:szCs w:val="44"/>
        </w:rPr>
        <w:t xml:space="preserve"> </w:t>
      </w:r>
      <w:r>
        <w:rPr>
          <w:rFonts w:hint="eastAsia"/>
          <w:b/>
          <w:bCs/>
          <w:sz w:val="44"/>
          <w:szCs w:val="44"/>
        </w:rPr>
        <w:t>王文达</w:t>
      </w:r>
      <w:r w:rsidR="0007164E">
        <w:rPr>
          <w:rFonts w:hint="eastAsia"/>
          <w:b/>
          <w:bCs/>
          <w:sz w:val="44"/>
          <w:szCs w:val="44"/>
        </w:rPr>
        <w:t xml:space="preserve"> </w:t>
      </w:r>
      <w:r w:rsidR="0007164E">
        <w:rPr>
          <w:rFonts w:hint="eastAsia"/>
          <w:b/>
          <w:bCs/>
          <w:sz w:val="44"/>
          <w:szCs w:val="44"/>
        </w:rPr>
        <w:t>张洁</w:t>
      </w:r>
      <w:r w:rsidR="0007164E">
        <w:rPr>
          <w:rFonts w:hint="eastAsia"/>
          <w:b/>
          <w:bCs/>
          <w:sz w:val="44"/>
          <w:szCs w:val="44"/>
        </w:rPr>
        <w:t xml:space="preserve"> </w:t>
      </w:r>
      <w:r w:rsidR="0007164E">
        <w:rPr>
          <w:rFonts w:hint="eastAsia"/>
          <w:b/>
          <w:bCs/>
          <w:sz w:val="44"/>
          <w:szCs w:val="44"/>
        </w:rPr>
        <w:t>曹旭</w:t>
      </w:r>
      <w:r w:rsidR="0007164E">
        <w:rPr>
          <w:rFonts w:hint="eastAsia"/>
          <w:b/>
          <w:bCs/>
          <w:sz w:val="44"/>
          <w:szCs w:val="44"/>
        </w:rPr>
        <w:t xml:space="preserve"> </w:t>
      </w:r>
      <w:proofErr w:type="gramStart"/>
      <w:r w:rsidR="0007164E">
        <w:rPr>
          <w:rFonts w:hint="eastAsia"/>
          <w:b/>
          <w:bCs/>
          <w:sz w:val="44"/>
          <w:szCs w:val="44"/>
        </w:rPr>
        <w:t>谌</w:t>
      </w:r>
      <w:proofErr w:type="gramEnd"/>
      <w:r w:rsidR="0007164E">
        <w:rPr>
          <w:rFonts w:hint="eastAsia"/>
          <w:b/>
          <w:bCs/>
          <w:sz w:val="44"/>
          <w:szCs w:val="44"/>
        </w:rPr>
        <w:t>强</w:t>
      </w:r>
      <w:r w:rsidR="0007164E">
        <w:rPr>
          <w:rFonts w:hint="eastAsia"/>
          <w:b/>
          <w:bCs/>
          <w:sz w:val="44"/>
          <w:szCs w:val="44"/>
        </w:rPr>
        <w:t xml:space="preserve">   </w:t>
      </w:r>
      <w:r w:rsidR="0007164E">
        <w:rPr>
          <w:rFonts w:hint="eastAsia"/>
          <w:b/>
          <w:bCs/>
          <w:sz w:val="44"/>
          <w:szCs w:val="44"/>
        </w:rPr>
        <w:t>邢元杰</w:t>
      </w:r>
      <w:r w:rsidR="0007164E">
        <w:rPr>
          <w:rFonts w:hint="eastAsia"/>
          <w:b/>
          <w:bCs/>
          <w:sz w:val="44"/>
          <w:szCs w:val="44"/>
        </w:rPr>
        <w:t xml:space="preserve"> </w:t>
      </w:r>
      <w:r w:rsidR="0007164E">
        <w:rPr>
          <w:rFonts w:hint="eastAsia"/>
          <w:b/>
          <w:bCs/>
          <w:sz w:val="44"/>
          <w:szCs w:val="44"/>
        </w:rPr>
        <w:t>韩强</w:t>
      </w:r>
      <w:r w:rsidR="0007164E">
        <w:rPr>
          <w:rFonts w:hint="eastAsia"/>
          <w:b/>
          <w:bCs/>
          <w:sz w:val="44"/>
          <w:szCs w:val="44"/>
        </w:rPr>
        <w:t xml:space="preserve"> </w:t>
      </w:r>
      <w:r w:rsidR="0007164E">
        <w:rPr>
          <w:rFonts w:hint="eastAsia"/>
          <w:b/>
          <w:bCs/>
          <w:sz w:val="44"/>
          <w:szCs w:val="44"/>
        </w:rPr>
        <w:t>徐翔</w:t>
      </w:r>
    </w:p>
    <w:p w:rsidR="00C97C8E" w:rsidRPr="0007164E" w:rsidRDefault="00C97C8E" w:rsidP="00C97C8E">
      <w:pPr>
        <w:widowControl/>
        <w:ind w:leftChars="750" w:left="4406" w:hangingChars="641" w:hanging="2831"/>
        <w:rPr>
          <w:b/>
          <w:bCs/>
          <w:sz w:val="44"/>
          <w:szCs w:val="44"/>
        </w:rPr>
      </w:pPr>
    </w:p>
    <w:p w:rsidR="00C97C8E" w:rsidRPr="00C97C8E" w:rsidRDefault="00C97C8E" w:rsidP="00C97C8E">
      <w:pPr>
        <w:pStyle w:val="a6"/>
        <w:spacing w:line="360" w:lineRule="auto"/>
        <w:rPr>
          <w:b/>
          <w:sz w:val="32"/>
          <w:szCs w:val="32"/>
        </w:rPr>
      </w:pPr>
    </w:p>
    <w:p w:rsidR="004165EC" w:rsidRDefault="00C97C8E">
      <w:pPr>
        <w:pStyle w:val="a6"/>
        <w:spacing w:line="360" w:lineRule="auto"/>
        <w:jc w:val="center"/>
        <w:rPr>
          <w:b/>
          <w:sz w:val="28"/>
          <w:szCs w:val="28"/>
        </w:rPr>
      </w:pPr>
      <w:r>
        <w:rPr>
          <w:b/>
          <w:sz w:val="32"/>
          <w:szCs w:val="32"/>
        </w:rPr>
        <w:br w:type="page"/>
      </w:r>
      <w:r>
        <w:rPr>
          <w:rFonts w:hint="eastAsia"/>
          <w:b/>
          <w:sz w:val="32"/>
          <w:szCs w:val="32"/>
        </w:rPr>
        <w:lastRenderedPageBreak/>
        <w:t>期货品种基础性质研究</w:t>
      </w:r>
    </w:p>
    <w:p w:rsidR="004165EC" w:rsidRDefault="00C97C8E">
      <w:pPr>
        <w:pStyle w:val="a6"/>
        <w:spacing w:line="360" w:lineRule="auto"/>
        <w:rPr>
          <w:b/>
          <w:sz w:val="28"/>
          <w:szCs w:val="28"/>
        </w:rPr>
      </w:pPr>
      <w:r>
        <w:rPr>
          <w:rFonts w:hint="eastAsia"/>
          <w:b/>
          <w:sz w:val="28"/>
          <w:szCs w:val="28"/>
        </w:rPr>
        <w:t>1 概述</w:t>
      </w:r>
      <w:bookmarkStart w:id="0" w:name="_GoBack"/>
      <w:bookmarkEnd w:id="0"/>
    </w:p>
    <w:p w:rsidR="004165EC" w:rsidRDefault="00C97C8E">
      <w:pPr>
        <w:pStyle w:val="a6"/>
        <w:spacing w:line="360" w:lineRule="auto"/>
        <w:ind w:firstLineChars="200" w:firstLine="420"/>
        <w:rPr>
          <w:sz w:val="21"/>
          <w:szCs w:val="21"/>
        </w:rPr>
      </w:pPr>
      <w:r>
        <w:rPr>
          <w:rFonts w:hint="eastAsia"/>
          <w:sz w:val="21"/>
          <w:szCs w:val="21"/>
        </w:rPr>
        <w:t>成熟稳健的</w:t>
      </w:r>
      <w:proofErr w:type="gramStart"/>
      <w:r>
        <w:rPr>
          <w:rFonts w:hint="eastAsia"/>
          <w:sz w:val="21"/>
          <w:szCs w:val="21"/>
        </w:rPr>
        <w:t>的</w:t>
      </w:r>
      <w:proofErr w:type="gramEnd"/>
      <w:r>
        <w:rPr>
          <w:rFonts w:hint="eastAsia"/>
          <w:sz w:val="21"/>
          <w:szCs w:val="21"/>
        </w:rPr>
        <w:t>交易应该包括下列环节：</w:t>
      </w:r>
    </w:p>
    <w:p w:rsidR="004165EC" w:rsidRDefault="00C97C8E">
      <w:pPr>
        <w:pStyle w:val="a6"/>
        <w:numPr>
          <w:ilvl w:val="0"/>
          <w:numId w:val="1"/>
        </w:numPr>
        <w:spacing w:line="360" w:lineRule="auto"/>
        <w:rPr>
          <w:sz w:val="21"/>
          <w:szCs w:val="21"/>
        </w:rPr>
      </w:pPr>
      <w:r>
        <w:rPr>
          <w:rFonts w:hint="eastAsia"/>
          <w:sz w:val="21"/>
          <w:szCs w:val="21"/>
        </w:rPr>
        <w:t>决定买（卖）什么，确定资产配置，即品种选择。</w:t>
      </w:r>
    </w:p>
    <w:p w:rsidR="004165EC" w:rsidRDefault="00C97C8E">
      <w:pPr>
        <w:pStyle w:val="a6"/>
        <w:numPr>
          <w:ilvl w:val="0"/>
          <w:numId w:val="1"/>
        </w:numPr>
        <w:spacing w:line="360" w:lineRule="auto"/>
        <w:rPr>
          <w:sz w:val="21"/>
          <w:szCs w:val="21"/>
        </w:rPr>
      </w:pPr>
      <w:r>
        <w:rPr>
          <w:rFonts w:hint="eastAsia"/>
          <w:sz w:val="21"/>
          <w:szCs w:val="21"/>
        </w:rPr>
        <w:t>何时买（卖），</w:t>
      </w:r>
      <w:proofErr w:type="gramStart"/>
      <w:r>
        <w:rPr>
          <w:rFonts w:hint="eastAsia"/>
          <w:sz w:val="21"/>
          <w:szCs w:val="21"/>
        </w:rPr>
        <w:t>仓位</w:t>
      </w:r>
      <w:proofErr w:type="gramEnd"/>
      <w:r>
        <w:rPr>
          <w:rFonts w:hint="eastAsia"/>
          <w:sz w:val="21"/>
          <w:szCs w:val="21"/>
        </w:rPr>
        <w:t>控制——交易策略。</w:t>
      </w:r>
    </w:p>
    <w:p w:rsidR="004165EC" w:rsidRDefault="00C97C8E">
      <w:pPr>
        <w:pStyle w:val="a6"/>
        <w:numPr>
          <w:ilvl w:val="0"/>
          <w:numId w:val="1"/>
        </w:numPr>
        <w:spacing w:line="360" w:lineRule="auto"/>
        <w:rPr>
          <w:sz w:val="21"/>
          <w:szCs w:val="21"/>
        </w:rPr>
      </w:pPr>
      <w:r>
        <w:rPr>
          <w:rFonts w:hint="eastAsia"/>
          <w:sz w:val="21"/>
          <w:szCs w:val="21"/>
        </w:rPr>
        <w:t>极端事件的风险防范——量化投资的风险控制。</w:t>
      </w:r>
    </w:p>
    <w:p w:rsidR="004165EC" w:rsidRDefault="00C97C8E">
      <w:pPr>
        <w:pStyle w:val="a6"/>
        <w:numPr>
          <w:ilvl w:val="0"/>
          <w:numId w:val="1"/>
        </w:numPr>
        <w:spacing w:line="360" w:lineRule="auto"/>
        <w:rPr>
          <w:sz w:val="21"/>
          <w:szCs w:val="21"/>
        </w:rPr>
      </w:pPr>
      <w:r>
        <w:rPr>
          <w:rFonts w:hint="eastAsia"/>
          <w:sz w:val="21"/>
          <w:szCs w:val="21"/>
        </w:rPr>
        <w:t>同期同类收益率的比对——绩效评估。</w:t>
      </w:r>
    </w:p>
    <w:p w:rsidR="004165EC" w:rsidRDefault="00C97C8E">
      <w:pPr>
        <w:pStyle w:val="a6"/>
        <w:spacing w:line="360" w:lineRule="auto"/>
        <w:ind w:firstLineChars="200" w:firstLine="420"/>
        <w:rPr>
          <w:sz w:val="21"/>
          <w:szCs w:val="21"/>
        </w:rPr>
      </w:pPr>
      <w:r>
        <w:rPr>
          <w:rFonts w:hint="eastAsia"/>
          <w:sz w:val="21"/>
          <w:szCs w:val="21"/>
        </w:rPr>
        <w:t>基于项目服务对象是万家基金管理有限公司。其主要投资方式为买入平仓，而非实物交割；其偏好运作模式为短期的量化投资，而非完全的基本面分析，长期持有。因此，依据项目要求，研究的重点主要是量化投资下的品种选择和策略研究两个方面，最后再依据风险控制和绩效评估的要求，完善量化投资程序的开发，彻底实现项目的实用性要求。</w:t>
      </w:r>
    </w:p>
    <w:p w:rsidR="004165EC" w:rsidRDefault="00C97C8E">
      <w:pPr>
        <w:pStyle w:val="a6"/>
        <w:spacing w:line="360" w:lineRule="auto"/>
        <w:ind w:firstLineChars="200" w:firstLine="420"/>
        <w:rPr>
          <w:sz w:val="21"/>
          <w:szCs w:val="21"/>
        </w:rPr>
      </w:pPr>
      <w:r>
        <w:rPr>
          <w:rFonts w:hint="eastAsia"/>
          <w:sz w:val="21"/>
          <w:szCs w:val="21"/>
        </w:rPr>
        <w:t>期货品种可分为两大类：一类是金融期货，一类是商品期货。我国期货市场现状是，金融期货只有5年国债期货和沪深三百指数期货两种；商品期货有农产品、金属和能源化工三大类40个品种。</w:t>
      </w:r>
    </w:p>
    <w:p w:rsidR="004165EC" w:rsidRDefault="00C97C8E">
      <w:pPr>
        <w:pStyle w:val="a6"/>
        <w:spacing w:line="360" w:lineRule="auto"/>
        <w:ind w:firstLineChars="200" w:firstLine="420"/>
        <w:rPr>
          <w:sz w:val="21"/>
          <w:szCs w:val="21"/>
        </w:rPr>
      </w:pPr>
      <w:r>
        <w:rPr>
          <w:rFonts w:hint="eastAsia"/>
          <w:sz w:val="21"/>
          <w:szCs w:val="21"/>
        </w:rPr>
        <w:t>因此，在选择期货品种时，可以首先根据投资者偏好以及对不同板块的熟悉度选择商品期货或金融期货。在商品期货品种选择中，可以先在不同板块中选取能够发挥量化投资优势的优良品种，然后按照适当的资产配置，对不同的品种以不同的比例持有。对于金融期货品种的选择，优于国内只有5年国债期货和沪深三百指数期货两种，所以可以根据投资者偏好及熟悉度进行选择。</w:t>
      </w:r>
    </w:p>
    <w:p w:rsidR="004165EC" w:rsidRDefault="00C97C8E">
      <w:pPr>
        <w:pStyle w:val="a6"/>
        <w:spacing w:line="360" w:lineRule="auto"/>
        <w:ind w:firstLineChars="200" w:firstLine="420"/>
        <w:rPr>
          <w:sz w:val="21"/>
          <w:szCs w:val="21"/>
        </w:rPr>
      </w:pPr>
      <w:r>
        <w:rPr>
          <w:rFonts w:hint="eastAsia"/>
          <w:sz w:val="21"/>
          <w:szCs w:val="21"/>
        </w:rPr>
        <w:t>在</w:t>
      </w:r>
      <w:proofErr w:type="gramStart"/>
      <w:r>
        <w:rPr>
          <w:rFonts w:hint="eastAsia"/>
          <w:sz w:val="21"/>
          <w:szCs w:val="21"/>
        </w:rPr>
        <w:t>仓位</w:t>
      </w:r>
      <w:proofErr w:type="gramEnd"/>
      <w:r>
        <w:rPr>
          <w:rFonts w:hint="eastAsia"/>
          <w:sz w:val="21"/>
          <w:szCs w:val="21"/>
        </w:rPr>
        <w:t>建立完成后，持有比例并不是一成不变的。一者，长期来看，随着市场行情的波动，新数据的产生，依据原有的品种选择策略就应该有一定幅度地调整持有比例。再者（也更为重要的是），短期来看，量化投资更能够抓住短期的相关变量的变动，更能够捕捉到短期的非理性波动，并能确定买卖时机以期获得短期资本利得。</w:t>
      </w:r>
    </w:p>
    <w:p w:rsidR="004165EC" w:rsidRDefault="00C97C8E">
      <w:pPr>
        <w:pStyle w:val="a6"/>
        <w:spacing w:line="360" w:lineRule="auto"/>
        <w:ind w:firstLineChars="200" w:firstLine="420"/>
        <w:rPr>
          <w:sz w:val="21"/>
          <w:szCs w:val="21"/>
        </w:rPr>
      </w:pPr>
      <w:r>
        <w:rPr>
          <w:rFonts w:hint="eastAsia"/>
          <w:sz w:val="21"/>
          <w:szCs w:val="21"/>
        </w:rPr>
        <w:t>如此便构成了品种选择与交易策略。综上，有必要对这两个问题进行进一步的界定。</w:t>
      </w:r>
    </w:p>
    <w:p w:rsidR="004165EC" w:rsidRDefault="00C97C8E">
      <w:pPr>
        <w:pStyle w:val="a6"/>
        <w:spacing w:line="360" w:lineRule="auto"/>
        <w:rPr>
          <w:sz w:val="21"/>
          <w:szCs w:val="21"/>
        </w:rPr>
      </w:pPr>
      <w:r>
        <w:rPr>
          <w:rFonts w:hint="eastAsia"/>
          <w:sz w:val="21"/>
          <w:szCs w:val="21"/>
        </w:rPr>
        <w:t>品种选择即按照“从上到下”的顺序，先选择期货类，再选择具体品种，然后分配资金。</w:t>
      </w:r>
    </w:p>
    <w:p w:rsidR="004165EC" w:rsidRDefault="00C97C8E">
      <w:pPr>
        <w:pStyle w:val="a6"/>
        <w:spacing w:line="360" w:lineRule="auto"/>
        <w:rPr>
          <w:sz w:val="21"/>
          <w:szCs w:val="21"/>
        </w:rPr>
      </w:pPr>
      <w:r>
        <w:rPr>
          <w:rFonts w:hint="eastAsia"/>
          <w:sz w:val="21"/>
          <w:szCs w:val="21"/>
        </w:rPr>
        <w:t>交易策略即通过数据分析，先确定大概价格区间，再确定价格走势（等同于确定买卖时机），实现低买高卖，获取资本利得。</w:t>
      </w:r>
    </w:p>
    <w:p w:rsidR="004165EC" w:rsidRDefault="00C97C8E">
      <w:pPr>
        <w:spacing w:line="360" w:lineRule="auto"/>
        <w:rPr>
          <w:rFonts w:ascii="宋体" w:hAnsi="宋体"/>
          <w:b/>
          <w:sz w:val="28"/>
          <w:szCs w:val="28"/>
        </w:rPr>
      </w:pPr>
      <w:r>
        <w:rPr>
          <w:rFonts w:ascii="宋体" w:hAnsi="宋体" w:hint="eastAsia"/>
          <w:b/>
          <w:sz w:val="28"/>
          <w:szCs w:val="28"/>
        </w:rPr>
        <w:t>2 交易品种选择</w:t>
      </w:r>
    </w:p>
    <w:p w:rsidR="004165EC" w:rsidRDefault="00C97C8E">
      <w:pPr>
        <w:spacing w:line="360" w:lineRule="auto"/>
        <w:ind w:firstLineChars="200" w:firstLine="420"/>
        <w:rPr>
          <w:rFonts w:ascii="宋体" w:hAnsi="宋体"/>
        </w:rPr>
      </w:pPr>
      <w:r>
        <w:rPr>
          <w:rFonts w:ascii="宋体" w:hAnsi="宋体" w:hint="eastAsia"/>
        </w:rPr>
        <w:t>在选择商品期货种类时，可采用因子分析法分析历史交易数据，量化商品期货各品种的</w:t>
      </w:r>
      <w:r>
        <w:rPr>
          <w:rFonts w:ascii="宋体" w:hAnsi="宋体" w:hint="eastAsia"/>
        </w:rPr>
        <w:lastRenderedPageBreak/>
        <w:t>流动性及波动性等情况，最后选取波动性及流动性均表现良好的品种作为优良品种，作为投资组合待选品种。</w:t>
      </w:r>
    </w:p>
    <w:p w:rsidR="004165EC" w:rsidRDefault="00C97C8E">
      <w:pPr>
        <w:spacing w:line="360" w:lineRule="auto"/>
        <w:rPr>
          <w:rFonts w:ascii="宋体" w:hAnsi="宋体"/>
          <w:b/>
          <w:sz w:val="24"/>
          <w:szCs w:val="24"/>
        </w:rPr>
      </w:pPr>
      <w:r>
        <w:rPr>
          <w:rFonts w:ascii="宋体" w:hAnsi="宋体" w:hint="eastAsia"/>
          <w:b/>
          <w:sz w:val="24"/>
          <w:szCs w:val="24"/>
        </w:rPr>
        <w:t>2.1 数据选择与处理</w:t>
      </w:r>
    </w:p>
    <w:p w:rsidR="004165EC" w:rsidRDefault="00C97C8E">
      <w:pPr>
        <w:spacing w:line="360" w:lineRule="auto"/>
        <w:ind w:firstLineChars="200" w:firstLine="420"/>
        <w:rPr>
          <w:rFonts w:ascii="宋体" w:hAnsi="宋体"/>
        </w:rPr>
      </w:pPr>
      <w:r>
        <w:rPr>
          <w:rFonts w:ascii="宋体" w:hAnsi="宋体" w:hint="eastAsia"/>
        </w:rPr>
        <w:t>我们选取的原始数据是，2009年1月1日至2013年12月31号（未上市品种从上市之日起算起）各品种期货的日交易数据。变量包括前结算价，开盘价，</w:t>
      </w:r>
      <w:proofErr w:type="gramStart"/>
      <w:r>
        <w:rPr>
          <w:rFonts w:ascii="宋体" w:hAnsi="宋体" w:hint="eastAsia"/>
        </w:rPr>
        <w:t>最</w:t>
      </w:r>
      <w:proofErr w:type="gramEnd"/>
      <w:r>
        <w:rPr>
          <w:rFonts w:ascii="宋体" w:hAnsi="宋体" w:hint="eastAsia"/>
        </w:rPr>
        <w:t>高价，最低价，收盘价，结算价，成交量，成交金额，持仓量，涨跌1（收盘价-前结算）以及涨跌2（结算价-前结算）。</w:t>
      </w:r>
    </w:p>
    <w:p w:rsidR="004165EC" w:rsidRDefault="00C97C8E">
      <w:pPr>
        <w:spacing w:line="360" w:lineRule="auto"/>
        <w:ind w:firstLineChars="200" w:firstLine="420"/>
        <w:rPr>
          <w:rFonts w:ascii="宋体" w:hAnsi="宋体"/>
        </w:rPr>
      </w:pPr>
      <w:r>
        <w:rPr>
          <w:rFonts w:ascii="宋体" w:hAnsi="宋体" w:hint="eastAsia"/>
        </w:rPr>
        <w:t>分析原始数据样本各变量的实际意义可发现：</w:t>
      </w:r>
    </w:p>
    <w:p w:rsidR="004165EC" w:rsidRDefault="00C97C8E">
      <w:pPr>
        <w:spacing w:line="360" w:lineRule="auto"/>
        <w:ind w:firstLineChars="200" w:firstLine="420"/>
        <w:rPr>
          <w:rFonts w:ascii="宋体" w:hAnsi="宋体"/>
        </w:rPr>
      </w:pPr>
      <w:r>
        <w:rPr>
          <w:rFonts w:ascii="宋体" w:hAnsi="宋体" w:hint="eastAsia"/>
        </w:rPr>
        <w:t>（1）原始数据变量中，开盘价、</w:t>
      </w:r>
      <w:proofErr w:type="gramStart"/>
      <w:r>
        <w:rPr>
          <w:rFonts w:ascii="宋体" w:hAnsi="宋体" w:hint="eastAsia"/>
        </w:rPr>
        <w:t>最</w:t>
      </w:r>
      <w:proofErr w:type="gramEnd"/>
      <w:r>
        <w:rPr>
          <w:rFonts w:ascii="宋体" w:hAnsi="宋体" w:hint="eastAsia"/>
        </w:rPr>
        <w:t>高价、最低价和收盘价这四个价格表示的是一天价格波动中的4个极端：时间的两个极端(开盘价和收盘价)与价格的两个极端(</w:t>
      </w:r>
      <w:proofErr w:type="gramStart"/>
      <w:r>
        <w:rPr>
          <w:rFonts w:ascii="宋体" w:hAnsi="宋体" w:hint="eastAsia"/>
        </w:rPr>
        <w:t>最</w:t>
      </w:r>
      <w:proofErr w:type="gramEnd"/>
      <w:r>
        <w:rPr>
          <w:rFonts w:ascii="宋体" w:hAnsi="宋体" w:hint="eastAsia"/>
        </w:rPr>
        <w:t>高价和最低价)。收盘价的高低往往反映出市场资金对某只个股的关注程度，有预示下一个交易日的演绎方向的功能，所以收盘价的表现是值得关注的。</w:t>
      </w:r>
    </w:p>
    <w:p w:rsidR="004165EC" w:rsidRDefault="00C97C8E">
      <w:pPr>
        <w:spacing w:line="360" w:lineRule="auto"/>
        <w:ind w:firstLineChars="200" w:firstLine="420"/>
        <w:rPr>
          <w:rFonts w:ascii="宋体" w:hAnsi="宋体"/>
        </w:rPr>
      </w:pPr>
      <w:r>
        <w:rPr>
          <w:rFonts w:ascii="宋体" w:hAnsi="宋体" w:hint="eastAsia"/>
        </w:rPr>
        <w:t>（2）成交量的高低不仅取决于市场的投资热情，还取决于相应产品的吸引力大小，以及投资者对该产品的熟悉程度。成交额与其具有相同意义。而持仓量的大小则反映了市场交易规模的大小，也反映了多空双方对当前价位的分歧大小。</w:t>
      </w:r>
    </w:p>
    <w:p w:rsidR="004165EC" w:rsidRDefault="00C97C8E">
      <w:pPr>
        <w:spacing w:line="360" w:lineRule="auto"/>
        <w:ind w:firstLineChars="200" w:firstLine="420"/>
        <w:rPr>
          <w:rFonts w:ascii="宋体" w:hAnsi="宋体"/>
        </w:rPr>
      </w:pPr>
      <w:r>
        <w:rPr>
          <w:rFonts w:ascii="宋体" w:hAnsi="宋体" w:hint="eastAsia"/>
        </w:rPr>
        <w:t>（3）涨跌1和涨跌2描述了当日收盘价和结算价与前日相比涨跌情况。</w:t>
      </w:r>
    </w:p>
    <w:p w:rsidR="004165EC" w:rsidRDefault="00C97C8E">
      <w:pPr>
        <w:spacing w:line="360" w:lineRule="auto"/>
        <w:ind w:firstLineChars="200" w:firstLine="420"/>
        <w:rPr>
          <w:rFonts w:ascii="宋体" w:hAnsi="宋体"/>
        </w:rPr>
      </w:pPr>
      <w:r>
        <w:rPr>
          <w:rFonts w:ascii="宋体" w:hAnsi="宋体" w:hint="eastAsia"/>
        </w:rPr>
        <w:t>考虑到日交易数据的季节性变动差异和不稳定性，我们选用各品种</w:t>
      </w:r>
      <w:proofErr w:type="gramStart"/>
      <w:r>
        <w:rPr>
          <w:rFonts w:ascii="宋体" w:hAnsi="宋体" w:hint="eastAsia"/>
        </w:rPr>
        <w:t>每年日</w:t>
      </w:r>
      <w:proofErr w:type="gramEnd"/>
      <w:r>
        <w:rPr>
          <w:rFonts w:ascii="宋体" w:hAnsi="宋体" w:hint="eastAsia"/>
        </w:rPr>
        <w:t>交易数据平均值作为该交易品种该年的样本。同时，选取结算价，开盘价，</w:t>
      </w:r>
      <w:proofErr w:type="gramStart"/>
      <w:r>
        <w:rPr>
          <w:rFonts w:ascii="宋体" w:hAnsi="宋体" w:hint="eastAsia"/>
        </w:rPr>
        <w:t>最</w:t>
      </w:r>
      <w:proofErr w:type="gramEnd"/>
      <w:r>
        <w:rPr>
          <w:rFonts w:ascii="宋体" w:hAnsi="宋体" w:hint="eastAsia"/>
        </w:rPr>
        <w:t>高价，最低价，收盘价，结算价，成交量，成交金额，持仓量，涨跌幅1（（收盘价-前结算）/前结算）以及涨跌2（（结算价-前结算）/前结算）作为原始变量值指标。</w:t>
      </w:r>
    </w:p>
    <w:p w:rsidR="004165EC" w:rsidRDefault="00C97C8E">
      <w:pPr>
        <w:spacing w:line="360" w:lineRule="auto"/>
        <w:ind w:firstLineChars="200" w:firstLine="420"/>
        <w:rPr>
          <w:rFonts w:ascii="宋体" w:hAnsi="宋体"/>
        </w:rPr>
      </w:pPr>
      <w:r>
        <w:rPr>
          <w:rFonts w:ascii="宋体" w:hAnsi="宋体" w:hint="eastAsia"/>
        </w:rPr>
        <w:t>2013年有交易的40个品种。数据初期处理使用Excel，因子分析使用SPSS实现。</w:t>
      </w:r>
    </w:p>
    <w:p w:rsidR="004165EC" w:rsidRDefault="00C97C8E">
      <w:pPr>
        <w:spacing w:line="360" w:lineRule="auto"/>
        <w:rPr>
          <w:rFonts w:ascii="宋体" w:hAnsi="宋体"/>
          <w:b/>
          <w:sz w:val="24"/>
          <w:szCs w:val="24"/>
        </w:rPr>
      </w:pPr>
      <w:r>
        <w:rPr>
          <w:rFonts w:ascii="宋体" w:hAnsi="宋体" w:hint="eastAsia"/>
          <w:b/>
          <w:sz w:val="24"/>
          <w:szCs w:val="24"/>
        </w:rPr>
        <w:t>2.2 实证分析</w:t>
      </w:r>
    </w:p>
    <w:p w:rsidR="004165EC" w:rsidRDefault="00C97C8E">
      <w:pPr>
        <w:spacing w:line="360" w:lineRule="auto"/>
        <w:rPr>
          <w:rFonts w:ascii="宋体" w:hAnsi="宋体"/>
          <w:b/>
        </w:rPr>
      </w:pPr>
      <w:r>
        <w:rPr>
          <w:rFonts w:ascii="宋体" w:hAnsi="宋体" w:hint="eastAsia"/>
          <w:b/>
        </w:rPr>
        <w:t>2.2.1 因子分析简介</w:t>
      </w:r>
    </w:p>
    <w:p w:rsidR="004165EC" w:rsidRDefault="00C97C8E">
      <w:pPr>
        <w:spacing w:line="360" w:lineRule="auto"/>
        <w:ind w:firstLineChars="200" w:firstLine="420"/>
        <w:rPr>
          <w:rFonts w:ascii="宋体" w:hAnsi="宋体"/>
          <w:bCs/>
        </w:rPr>
      </w:pPr>
      <w:r>
        <w:rPr>
          <w:rFonts w:ascii="宋体" w:hAnsi="宋体" w:hint="eastAsia"/>
          <w:bCs/>
        </w:rPr>
        <w:t>因子分析通过研究相关阵或协方差阵的内部依赖关系，在处理具有多个指标的问题中用来寻找出支配多个指标的少数几个公因子或者是共性因子，这些公因子具有一个性质，就是他们是彼此独立或者是不相关的。在研究问题时，以公因子代替</w:t>
      </w:r>
      <w:proofErr w:type="gramStart"/>
      <w:r>
        <w:rPr>
          <w:rFonts w:ascii="宋体" w:hAnsi="宋体" w:hint="eastAsia"/>
          <w:bCs/>
        </w:rPr>
        <w:t>原指标</w:t>
      </w:r>
      <w:proofErr w:type="gramEnd"/>
      <w:r>
        <w:rPr>
          <w:rFonts w:ascii="宋体" w:hAnsi="宋体" w:hint="eastAsia"/>
          <w:bCs/>
        </w:rPr>
        <w:t>作为研究对象，可以达到</w:t>
      </w:r>
      <w:proofErr w:type="gramStart"/>
      <w:r>
        <w:rPr>
          <w:rFonts w:ascii="宋体" w:hAnsi="宋体" w:hint="eastAsia"/>
          <w:bCs/>
        </w:rPr>
        <w:t>到</w:t>
      </w:r>
      <w:proofErr w:type="gramEnd"/>
      <w:r>
        <w:rPr>
          <w:rFonts w:ascii="宋体" w:hAnsi="宋体" w:hint="eastAsia"/>
          <w:bCs/>
        </w:rPr>
        <w:t>在不损失或很少损失</w:t>
      </w:r>
      <w:proofErr w:type="gramStart"/>
      <w:r>
        <w:rPr>
          <w:rFonts w:ascii="宋体" w:hAnsi="宋体" w:hint="eastAsia"/>
          <w:bCs/>
        </w:rPr>
        <w:t>原指标</w:t>
      </w:r>
      <w:proofErr w:type="gramEnd"/>
      <w:r>
        <w:rPr>
          <w:rFonts w:ascii="宋体" w:hAnsi="宋体" w:hint="eastAsia"/>
          <w:bCs/>
        </w:rPr>
        <w:t>所包含信息的效果。</w:t>
      </w:r>
    </w:p>
    <w:p w:rsidR="004165EC" w:rsidRDefault="00C97C8E">
      <w:pPr>
        <w:spacing w:line="360" w:lineRule="auto"/>
        <w:ind w:firstLineChars="200" w:firstLine="420"/>
        <w:rPr>
          <w:rFonts w:ascii="宋体" w:hAnsi="宋体"/>
        </w:rPr>
      </w:pPr>
      <w:r>
        <w:rPr>
          <w:rFonts w:ascii="宋体" w:hAnsi="宋体" w:hint="eastAsia"/>
        </w:rPr>
        <w:t>因子分析的理论基础非常成熟，应用也十分广泛，其理论知识附在文末，下面简单介绍一下因子分析的步骤。</w:t>
      </w:r>
    </w:p>
    <w:p w:rsidR="004165EC" w:rsidRDefault="00C97C8E">
      <w:pPr>
        <w:spacing w:line="360" w:lineRule="auto"/>
        <w:ind w:firstLineChars="200" w:firstLine="420"/>
        <w:rPr>
          <w:rFonts w:ascii="宋体" w:hAnsi="宋体"/>
        </w:rPr>
      </w:pPr>
      <w:r>
        <w:rPr>
          <w:rFonts w:ascii="宋体" w:hAnsi="宋体" w:hint="eastAsia"/>
        </w:rPr>
        <w:t>（1）根据将要解决的问题，选定要分析的原始变量，搜集相关数据并处理，做因子分</w:t>
      </w:r>
      <w:r>
        <w:rPr>
          <w:rFonts w:ascii="宋体" w:hAnsi="宋体" w:hint="eastAsia"/>
        </w:rPr>
        <w:lastRenderedPageBreak/>
        <w:t>析适用性检验。</w:t>
      </w:r>
    </w:p>
    <w:p w:rsidR="004165EC" w:rsidRDefault="00C97C8E">
      <w:pPr>
        <w:spacing w:line="360" w:lineRule="auto"/>
        <w:ind w:firstLineChars="200" w:firstLine="420"/>
        <w:rPr>
          <w:rFonts w:ascii="宋体" w:hAnsi="宋体"/>
        </w:rPr>
      </w:pPr>
      <w:r>
        <w:rPr>
          <w:rFonts w:ascii="宋体" w:hAnsi="宋体" w:hint="eastAsia"/>
        </w:rPr>
        <w:t>（2）提取公因子。首先要确定因子求解的方法（这里采用主成分方法）及因子的个数，因子个数根据累积方差贡献率确定，一般认为要达到60%以上才符合标准。</w:t>
      </w:r>
    </w:p>
    <w:p w:rsidR="004165EC" w:rsidRDefault="00C97C8E">
      <w:pPr>
        <w:spacing w:line="360" w:lineRule="auto"/>
        <w:ind w:firstLineChars="200" w:firstLine="420"/>
        <w:rPr>
          <w:rFonts w:ascii="宋体" w:hAnsi="宋体"/>
        </w:rPr>
      </w:pPr>
      <w:r>
        <w:rPr>
          <w:rFonts w:ascii="宋体" w:hAnsi="宋体" w:hint="eastAsia"/>
        </w:rPr>
        <w:t>（3）因子旋转。因子分析不仅仅要求出公共因子，更重要的是能够解释公共因子的实际意义。如果每个公共因子的意义含糊不清，则不利于根据实际背景对因子进行解释。由于因子载荷矩阵</w:t>
      </w:r>
      <w:proofErr w:type="gramStart"/>
      <w:r>
        <w:rPr>
          <w:rFonts w:ascii="宋体" w:hAnsi="宋体" w:hint="eastAsia"/>
        </w:rPr>
        <w:t>不</w:t>
      </w:r>
      <w:proofErr w:type="gramEnd"/>
      <w:r>
        <w:rPr>
          <w:rFonts w:ascii="宋体" w:hAnsi="宋体" w:hint="eastAsia"/>
        </w:rPr>
        <w:t>唯一，所以应该对因子载荷矩阵实施旋转变换，使得各个因子载荷矩阵的每一列</w:t>
      </w:r>
      <w:proofErr w:type="gramStart"/>
      <w:r>
        <w:rPr>
          <w:rFonts w:ascii="宋体" w:hAnsi="宋体" w:hint="eastAsia"/>
        </w:rPr>
        <w:t>个</w:t>
      </w:r>
      <w:proofErr w:type="gramEnd"/>
      <w:r>
        <w:rPr>
          <w:rFonts w:ascii="宋体" w:hAnsi="宋体" w:hint="eastAsia"/>
        </w:rPr>
        <w:t>元素的平方</w:t>
      </w:r>
      <w:proofErr w:type="gramStart"/>
      <w:r>
        <w:rPr>
          <w:rFonts w:ascii="宋体" w:hAnsi="宋体" w:hint="eastAsia"/>
        </w:rPr>
        <w:t>按列向</w:t>
      </w:r>
      <w:proofErr w:type="gramEnd"/>
      <w:r>
        <w:rPr>
          <w:rFonts w:ascii="宋体" w:hAnsi="宋体" w:hint="eastAsia"/>
        </w:rPr>
        <w:t>0和1</w:t>
      </w:r>
      <w:proofErr w:type="gramStart"/>
      <w:r>
        <w:rPr>
          <w:rFonts w:ascii="宋体" w:hAnsi="宋体" w:hint="eastAsia"/>
        </w:rPr>
        <w:t>两</w:t>
      </w:r>
      <w:proofErr w:type="gramEnd"/>
      <w:r>
        <w:rPr>
          <w:rFonts w:ascii="宋体" w:hAnsi="宋体" w:hint="eastAsia"/>
        </w:rPr>
        <w:t>级转化，以达到简化结构的目的。</w:t>
      </w:r>
    </w:p>
    <w:p w:rsidR="004165EC" w:rsidRDefault="00C97C8E">
      <w:pPr>
        <w:spacing w:line="360" w:lineRule="auto"/>
        <w:ind w:firstLineChars="200" w:firstLine="420"/>
        <w:rPr>
          <w:rFonts w:ascii="宋体" w:hAnsi="宋体"/>
        </w:rPr>
      </w:pPr>
      <w:r>
        <w:rPr>
          <w:rFonts w:ascii="宋体" w:hAnsi="宋体" w:hint="eastAsia"/>
        </w:rPr>
        <w:t>（4）计算因子得分。有时候我们需要把公因子表示成指标变量的线性组合，或是对每一个样</w:t>
      </w:r>
      <w:proofErr w:type="gramStart"/>
      <w:r>
        <w:rPr>
          <w:rFonts w:ascii="宋体" w:hAnsi="宋体" w:hint="eastAsia"/>
        </w:rPr>
        <w:t>本计算</w:t>
      </w:r>
      <w:proofErr w:type="gramEnd"/>
      <w:r>
        <w:rPr>
          <w:rFonts w:ascii="宋体" w:hAnsi="宋体" w:hint="eastAsia"/>
        </w:rPr>
        <w:t>公因子的估计值，这就是因子得分。因子得分有两方面的用途：一是用来诊断模型；而是用来作为进一步分析的原始数据。因子得分函数可以表示成如下形式：</w:t>
      </w:r>
    </w:p>
    <w:p w:rsidR="004165EC" w:rsidRDefault="00C97C8E">
      <w:pPr>
        <w:spacing w:line="360" w:lineRule="auto"/>
        <w:ind w:firstLineChars="200" w:firstLine="420"/>
        <w:rPr>
          <w:rFonts w:ascii="宋体" w:hAnsi="宋体"/>
        </w:rPr>
      </w:pPr>
      <w:r>
        <w:rPr>
          <w:rFonts w:ascii="宋体" w:hAnsi="宋体"/>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26" o:spid="_x0000_i1025" type="#_x0000_t75" style="width:171.75pt;height:18.75pt">
            <v:imagedata r:id="rId7" o:title=""/>
          </v:shape>
        </w:pict>
      </w:r>
    </w:p>
    <w:p w:rsidR="004165EC" w:rsidRDefault="00C97C8E">
      <w:pPr>
        <w:spacing w:line="360" w:lineRule="auto"/>
        <w:rPr>
          <w:rFonts w:ascii="宋体" w:hAnsi="宋体"/>
          <w:b/>
          <w:szCs w:val="21"/>
        </w:rPr>
      </w:pPr>
      <w:r>
        <w:rPr>
          <w:rFonts w:ascii="宋体" w:hAnsi="宋体" w:hint="eastAsia"/>
          <w:b/>
          <w:szCs w:val="21"/>
        </w:rPr>
        <w:t>2.2.2 结果分析</w:t>
      </w:r>
    </w:p>
    <w:p w:rsidR="004165EC" w:rsidRDefault="00C97C8E">
      <w:pPr>
        <w:spacing w:line="360" w:lineRule="auto"/>
        <w:ind w:firstLineChars="200" w:firstLine="422"/>
        <w:rPr>
          <w:rFonts w:ascii="宋体" w:hAnsi="宋体"/>
          <w:b/>
          <w:szCs w:val="21"/>
        </w:rPr>
      </w:pPr>
      <w:r>
        <w:rPr>
          <w:rFonts w:ascii="宋体" w:hAnsi="宋体" w:hint="eastAsia"/>
          <w:b/>
          <w:szCs w:val="21"/>
        </w:rPr>
        <w:t>(1).因子分析适用性检验</w:t>
      </w:r>
    </w:p>
    <w:p w:rsidR="004165EC" w:rsidRDefault="00C97C8E">
      <w:pPr>
        <w:spacing w:line="360" w:lineRule="auto"/>
        <w:ind w:firstLineChars="200" w:firstLine="420"/>
        <w:rPr>
          <w:rFonts w:ascii="宋体" w:hAnsi="宋体"/>
        </w:rPr>
      </w:pPr>
      <w:r>
        <w:rPr>
          <w:rFonts w:ascii="宋体" w:hAnsi="宋体" w:hint="eastAsia"/>
        </w:rPr>
        <w:t>因子分析的前提是观测变量之间具有较强的相关性，通常因子分析使用性检验采用</w:t>
      </w:r>
      <w:r>
        <w:rPr>
          <w:rFonts w:ascii="宋体" w:hAnsi="宋体"/>
        </w:rPr>
        <w:t xml:space="preserve">KMO and Bartlett </w:t>
      </w:r>
      <w:r>
        <w:rPr>
          <w:rFonts w:ascii="宋体" w:hAnsi="宋体" w:hint="eastAsia"/>
        </w:rPr>
        <w:t>检验。</w:t>
      </w:r>
    </w:p>
    <w:p w:rsidR="004165EC" w:rsidRDefault="00C97C8E">
      <w:pPr>
        <w:spacing w:line="360" w:lineRule="auto"/>
        <w:ind w:firstLineChars="200" w:firstLine="420"/>
        <w:rPr>
          <w:rFonts w:ascii="宋体" w:hAnsi="宋体"/>
        </w:rPr>
      </w:pPr>
      <w:r>
        <w:rPr>
          <w:rFonts w:ascii="宋体" w:hAnsi="宋体" w:hint="eastAsia"/>
        </w:rPr>
        <w:t>KMO检验，通过比较各变量间简单相关系数和偏相关系数的大小判断变量间的相关性，相关性强时，偏相关系数远小于简单相关系数，KMO值接近1。kmo值大于0.5可以做因子分析，kmo值越大，因子的贡献率也就越高，效果越好。</w:t>
      </w:r>
    </w:p>
    <w:p w:rsidR="004165EC" w:rsidRDefault="00C97C8E">
      <w:pPr>
        <w:spacing w:line="360" w:lineRule="auto"/>
        <w:ind w:firstLineChars="200" w:firstLine="420"/>
        <w:rPr>
          <w:rFonts w:ascii="宋体" w:hAnsi="宋体"/>
        </w:rPr>
      </w:pPr>
      <w:r>
        <w:rPr>
          <w:rFonts w:ascii="宋体" w:hAnsi="宋体" w:hint="eastAsia"/>
        </w:rPr>
        <w:t>Bartlett</w:t>
      </w:r>
      <w:proofErr w:type="gramStart"/>
      <w:r>
        <w:rPr>
          <w:rFonts w:ascii="宋体" w:hAnsi="宋体" w:hint="eastAsia"/>
        </w:rPr>
        <w:t>’</w:t>
      </w:r>
      <w:proofErr w:type="gramEnd"/>
      <w:r>
        <w:rPr>
          <w:rFonts w:ascii="宋体" w:hAnsi="宋体" w:hint="eastAsia"/>
        </w:rPr>
        <w:t>s球型检验，用于检验相关阵是否是单位阵，即各变量是否独立。它是以变量的相关系数矩阵为出发点，零假设：相关系数矩阵是一个单位阵。如果巴</w:t>
      </w:r>
      <w:proofErr w:type="gramStart"/>
      <w:r>
        <w:rPr>
          <w:rFonts w:ascii="宋体" w:hAnsi="宋体" w:hint="eastAsia"/>
        </w:rPr>
        <w:t>特</w:t>
      </w:r>
      <w:proofErr w:type="gramEnd"/>
      <w:r>
        <w:rPr>
          <w:rFonts w:ascii="宋体" w:hAnsi="宋体" w:hint="eastAsia"/>
        </w:rPr>
        <w:t>利球形检验的统计计量数值较大，且对应的相伴概率值小于用户给定的显著性水平，则应该拒绝零假设，可做因子分析。</w:t>
      </w:r>
    </w:p>
    <w:p w:rsidR="004165EC" w:rsidRDefault="00C97C8E">
      <w:pPr>
        <w:spacing w:line="360" w:lineRule="auto"/>
        <w:ind w:firstLineChars="200" w:firstLine="420"/>
        <w:rPr>
          <w:rFonts w:ascii="宋体" w:hAnsi="宋体"/>
        </w:rPr>
      </w:pPr>
      <w:r>
        <w:rPr>
          <w:rFonts w:ascii="宋体" w:hAnsi="宋体" w:hint="eastAsia"/>
        </w:rPr>
        <w:t>检验结果如下表：</w:t>
      </w:r>
    </w:p>
    <w:tbl>
      <w:tblPr>
        <w:tblW w:w="593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25"/>
        <w:gridCol w:w="2425"/>
        <w:gridCol w:w="1086"/>
      </w:tblGrid>
      <w:tr w:rsidR="004165EC">
        <w:trPr>
          <w:cantSplit/>
          <w:tblHeader/>
        </w:trPr>
        <w:tc>
          <w:tcPr>
            <w:tcW w:w="5936" w:type="dxa"/>
            <w:gridSpan w:val="3"/>
            <w:tcBorders>
              <w:bottom w:val="single" w:sz="16" w:space="0" w:color="000000"/>
            </w:tcBorders>
            <w:shd w:val="clear" w:color="auto" w:fill="FFFFFF"/>
            <w:vAlign w:val="center"/>
          </w:tcPr>
          <w:p w:rsidR="004165EC" w:rsidRDefault="00C97C8E">
            <w:pPr>
              <w:spacing w:line="360" w:lineRule="auto"/>
              <w:ind w:left="60" w:right="60"/>
              <w:jc w:val="center"/>
              <w:rPr>
                <w:rFonts w:ascii="宋体" w:hAnsi="宋体"/>
                <w:sz w:val="18"/>
              </w:rPr>
            </w:pPr>
            <w:r>
              <w:rPr>
                <w:rFonts w:ascii="宋体" w:hAnsi="宋体"/>
                <w:b/>
                <w:sz w:val="18"/>
              </w:rPr>
              <w:t>KMO and Bartlett's Test</w:t>
            </w:r>
          </w:p>
        </w:tc>
      </w:tr>
      <w:tr w:rsidR="004165EC">
        <w:trPr>
          <w:cantSplit/>
          <w:tblHeader/>
        </w:trPr>
        <w:tc>
          <w:tcPr>
            <w:tcW w:w="4850" w:type="dxa"/>
            <w:gridSpan w:val="2"/>
            <w:tcBorders>
              <w:top w:val="single" w:sz="16" w:space="0" w:color="000000"/>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Kaiser-Meyer-Olkin Measure of Sampling Adequacy.</w:t>
            </w:r>
          </w:p>
        </w:tc>
        <w:tc>
          <w:tcPr>
            <w:tcW w:w="1086" w:type="dxa"/>
            <w:tcBorders>
              <w:top w:val="single" w:sz="16" w:space="0" w:color="000000"/>
              <w:left w:val="single" w:sz="16"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.685</w:t>
            </w:r>
          </w:p>
        </w:tc>
      </w:tr>
      <w:tr w:rsidR="004165EC">
        <w:trPr>
          <w:cantSplit/>
          <w:tblHeader/>
        </w:trPr>
        <w:tc>
          <w:tcPr>
            <w:tcW w:w="2425" w:type="dxa"/>
            <w:vMerge w:val="restart"/>
            <w:tcBorders>
              <w:left w:val="single" w:sz="16" w:space="0" w:color="000000"/>
              <w:bottom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Bartlett's Test of Sphericity</w:t>
            </w:r>
          </w:p>
        </w:tc>
        <w:tc>
          <w:tcPr>
            <w:tcW w:w="2425" w:type="dxa"/>
            <w:tcBorders>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Approx. Chi-Square</w:t>
            </w:r>
          </w:p>
        </w:tc>
        <w:tc>
          <w:tcPr>
            <w:tcW w:w="1086" w:type="dxa"/>
            <w:tcBorders>
              <w:left w:val="single" w:sz="16"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6215.807</w:t>
            </w:r>
          </w:p>
        </w:tc>
      </w:tr>
      <w:tr w:rsidR="004165EC">
        <w:trPr>
          <w:cantSplit/>
          <w:tblHeader/>
        </w:trPr>
        <w:tc>
          <w:tcPr>
            <w:tcW w:w="2425" w:type="dxa"/>
            <w:vMerge/>
            <w:tcBorders>
              <w:left w:val="single" w:sz="16" w:space="0" w:color="000000"/>
              <w:bottom w:val="single" w:sz="16" w:space="0" w:color="000000"/>
            </w:tcBorders>
            <w:shd w:val="clear" w:color="auto" w:fill="FFFFFF"/>
          </w:tcPr>
          <w:p w:rsidR="004165EC" w:rsidRDefault="004165EC">
            <w:pPr>
              <w:spacing w:line="360" w:lineRule="auto"/>
              <w:rPr>
                <w:rFonts w:ascii="宋体" w:hAnsi="宋体"/>
                <w:sz w:val="18"/>
              </w:rPr>
            </w:pPr>
          </w:p>
        </w:tc>
        <w:tc>
          <w:tcPr>
            <w:tcW w:w="2425" w:type="dxa"/>
            <w:tcBorders>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df</w:t>
            </w:r>
          </w:p>
        </w:tc>
        <w:tc>
          <w:tcPr>
            <w:tcW w:w="1086" w:type="dxa"/>
            <w:tcBorders>
              <w:left w:val="single" w:sz="16"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55</w:t>
            </w:r>
          </w:p>
        </w:tc>
      </w:tr>
      <w:tr w:rsidR="004165EC">
        <w:trPr>
          <w:cantSplit/>
        </w:trPr>
        <w:tc>
          <w:tcPr>
            <w:tcW w:w="2425" w:type="dxa"/>
            <w:vMerge/>
            <w:tcBorders>
              <w:left w:val="single" w:sz="16" w:space="0" w:color="000000"/>
              <w:bottom w:val="single" w:sz="16" w:space="0" w:color="000000"/>
            </w:tcBorders>
            <w:shd w:val="clear" w:color="auto" w:fill="FFFFFF"/>
          </w:tcPr>
          <w:p w:rsidR="004165EC" w:rsidRDefault="004165EC">
            <w:pPr>
              <w:spacing w:line="360" w:lineRule="auto"/>
              <w:rPr>
                <w:rFonts w:ascii="宋体" w:hAnsi="宋体"/>
                <w:sz w:val="18"/>
              </w:rPr>
            </w:pPr>
          </w:p>
        </w:tc>
        <w:tc>
          <w:tcPr>
            <w:tcW w:w="2425" w:type="dxa"/>
            <w:tcBorders>
              <w:bottom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Sig.</w:t>
            </w:r>
          </w:p>
        </w:tc>
        <w:tc>
          <w:tcPr>
            <w:tcW w:w="1086" w:type="dxa"/>
            <w:tcBorders>
              <w:left w:val="single" w:sz="16" w:space="0" w:color="000000"/>
              <w:bottom w:val="single" w:sz="16"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.000</w:t>
            </w:r>
          </w:p>
        </w:tc>
      </w:tr>
    </w:tbl>
    <w:p w:rsidR="004165EC" w:rsidRDefault="00C97C8E">
      <w:pPr>
        <w:spacing w:line="360" w:lineRule="auto"/>
        <w:ind w:firstLineChars="200" w:firstLine="420"/>
        <w:rPr>
          <w:rFonts w:ascii="宋体" w:hAnsi="宋体"/>
        </w:rPr>
      </w:pPr>
      <w:r>
        <w:rPr>
          <w:rFonts w:ascii="宋体" w:hAnsi="宋体" w:hint="eastAsia"/>
        </w:rPr>
        <w:t>KMO值为0.685，根据KMO度量标准知原变量适合做因子分析；接下来我们再看巴特利</w:t>
      </w:r>
      <w:r>
        <w:rPr>
          <w:rFonts w:ascii="宋体" w:hAnsi="宋体" w:hint="eastAsia"/>
        </w:rPr>
        <w:lastRenderedPageBreak/>
        <w:t>特球度检验，Sig值小于0.05，此时应该拒绝变量相互独立的假设，这说明因素分析是合适的。综上所述，因子分析适用于本文样本数据。</w:t>
      </w:r>
    </w:p>
    <w:p w:rsidR="004165EC" w:rsidRDefault="00C97C8E">
      <w:pPr>
        <w:spacing w:line="360" w:lineRule="auto"/>
        <w:rPr>
          <w:rFonts w:ascii="宋体" w:hAnsi="宋体"/>
          <w:b/>
        </w:rPr>
      </w:pPr>
      <w:r>
        <w:rPr>
          <w:rFonts w:ascii="宋体" w:hAnsi="宋体" w:hint="eastAsia"/>
          <w:b/>
        </w:rPr>
        <w:t xml:space="preserve">    (2).提取公因子</w:t>
      </w:r>
    </w:p>
    <w:p w:rsidR="004165EC" w:rsidRDefault="00C97C8E">
      <w:pPr>
        <w:spacing w:line="360" w:lineRule="auto"/>
        <w:ind w:firstLine="420"/>
        <w:rPr>
          <w:rFonts w:ascii="宋体" w:hAnsi="宋体"/>
        </w:rPr>
      </w:pPr>
      <w:r>
        <w:rPr>
          <w:rFonts w:ascii="宋体" w:hAnsi="宋体" w:hint="eastAsia"/>
        </w:rPr>
        <w:t>提取公因子：采用主成分法，使得累积方差贡献率大于85%，即</w:t>
      </w:r>
      <w:r>
        <w:rPr>
          <w:rFonts w:ascii="宋体" w:hAnsi="宋体" w:hint="eastAsia"/>
          <w:sz w:val="24"/>
        </w:rPr>
        <w:t>根据</w:t>
      </w:r>
      <w:r>
        <w:rPr>
          <w:rFonts w:ascii="宋体" w:hAnsi="宋体"/>
          <w:position w:val="-34"/>
          <w:sz w:val="24"/>
        </w:rPr>
        <w:pict>
          <v:shape id="图片 182" o:spid="_x0000_i1026" type="#_x0000_t75" style="width:134.25pt;height:36.75pt">
            <v:imagedata r:id="rId8" o:title=""/>
          </v:shape>
        </w:pict>
      </w:r>
      <w:r>
        <w:rPr>
          <w:rFonts w:ascii="宋体" w:hAnsi="宋体" w:hint="eastAsia"/>
          <w:sz w:val="24"/>
        </w:rPr>
        <w:t>，确定因子个数</w:t>
      </w:r>
      <w:r>
        <w:rPr>
          <w:rFonts w:ascii="宋体" w:hAnsi="宋体" w:hint="eastAsia"/>
        </w:rPr>
        <w:t>同时考虑特征值大于或接近于1。</w:t>
      </w:r>
    </w:p>
    <w:p w:rsidR="004165EC" w:rsidRDefault="00C97C8E">
      <w:pPr>
        <w:spacing w:line="360" w:lineRule="auto"/>
        <w:ind w:firstLine="420"/>
        <w:rPr>
          <w:rFonts w:ascii="宋体" w:hAnsi="宋体"/>
        </w:rPr>
      </w:pPr>
      <w:r>
        <w:rPr>
          <w:rFonts w:ascii="宋体" w:hAnsi="宋体" w:hint="eastAsia"/>
        </w:rPr>
        <w:t>原始方差贡献率以及旋转后的方差贡献率如下表所示：</w:t>
      </w:r>
    </w:p>
    <w:p w:rsidR="004165EC" w:rsidRDefault="004165EC">
      <w:pPr>
        <w:spacing w:line="360" w:lineRule="auto"/>
        <w:ind w:firstLine="420"/>
        <w:rPr>
          <w:rFonts w:ascii="宋体" w:hAnsi="宋体"/>
        </w:rPr>
      </w:pPr>
    </w:p>
    <w:tbl>
      <w:tblPr>
        <w:tblW w:w="8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04"/>
        <w:gridCol w:w="666"/>
        <w:gridCol w:w="899"/>
        <w:gridCol w:w="911"/>
        <w:gridCol w:w="724"/>
        <w:gridCol w:w="901"/>
        <w:gridCol w:w="909"/>
        <w:gridCol w:w="701"/>
        <w:gridCol w:w="901"/>
        <w:gridCol w:w="910"/>
      </w:tblGrid>
      <w:tr w:rsidR="004165EC">
        <w:trPr>
          <w:cantSplit/>
          <w:tblHeader/>
        </w:trPr>
        <w:tc>
          <w:tcPr>
            <w:tcW w:w="8326" w:type="dxa"/>
            <w:gridSpan w:val="10"/>
            <w:shd w:val="clear" w:color="auto" w:fill="FFFFFF"/>
            <w:vAlign w:val="center"/>
          </w:tcPr>
          <w:p w:rsidR="004165EC" w:rsidRDefault="00C97C8E">
            <w:pPr>
              <w:spacing w:line="360" w:lineRule="auto"/>
              <w:ind w:left="60" w:right="60"/>
              <w:jc w:val="center"/>
              <w:rPr>
                <w:rFonts w:ascii="宋体" w:hAnsi="宋体"/>
                <w:sz w:val="18"/>
              </w:rPr>
            </w:pPr>
            <w:r>
              <w:rPr>
                <w:rFonts w:ascii="宋体" w:hAnsi="宋体"/>
                <w:b/>
                <w:sz w:val="18"/>
              </w:rPr>
              <w:t>Total Variance Explained</w:t>
            </w:r>
          </w:p>
        </w:tc>
      </w:tr>
      <w:tr w:rsidR="004165EC">
        <w:trPr>
          <w:cantSplit/>
          <w:tblHeader/>
        </w:trPr>
        <w:tc>
          <w:tcPr>
            <w:tcW w:w="804"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bottom"/>
          </w:tcPr>
          <w:p w:rsidR="004165EC" w:rsidRDefault="00C97C8E">
            <w:pPr>
              <w:spacing w:line="360" w:lineRule="auto"/>
              <w:ind w:left="60" w:right="60"/>
              <w:rPr>
                <w:rFonts w:ascii="宋体" w:hAnsi="宋体"/>
                <w:sz w:val="18"/>
              </w:rPr>
            </w:pPr>
            <w:r>
              <w:rPr>
                <w:rFonts w:ascii="宋体" w:hAnsi="宋体"/>
                <w:sz w:val="18"/>
              </w:rPr>
              <w:t>Component</w:t>
            </w:r>
          </w:p>
        </w:tc>
        <w:tc>
          <w:tcPr>
            <w:tcW w:w="2476" w:type="dxa"/>
            <w:gridSpan w:val="3"/>
            <w:tcBorders>
              <w:top w:val="single" w:sz="16" w:space="0" w:color="000000"/>
              <w:left w:val="single" w:sz="16" w:space="0" w:color="000000"/>
              <w:bottom w:val="single" w:sz="8"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Initial Eigenvalues</w:t>
            </w:r>
          </w:p>
        </w:tc>
        <w:tc>
          <w:tcPr>
            <w:tcW w:w="2534" w:type="dxa"/>
            <w:gridSpan w:val="3"/>
            <w:tcBorders>
              <w:top w:val="single" w:sz="16" w:space="0" w:color="000000"/>
              <w:left w:val="single" w:sz="8" w:space="0" w:color="000000"/>
              <w:bottom w:val="single" w:sz="8"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Extraction Sums of Squared Loadings</w:t>
            </w:r>
          </w:p>
        </w:tc>
        <w:tc>
          <w:tcPr>
            <w:tcW w:w="2512" w:type="dxa"/>
            <w:gridSpan w:val="3"/>
            <w:tcBorders>
              <w:top w:val="single" w:sz="16" w:space="0" w:color="000000"/>
              <w:left w:val="single" w:sz="8" w:space="0" w:color="000000"/>
              <w:bottom w:val="single" w:sz="8" w:space="0" w:color="000000"/>
              <w:right w:val="single" w:sz="16"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Rotation Sums of Squared Loadings</w:t>
            </w:r>
          </w:p>
        </w:tc>
      </w:tr>
      <w:tr w:rsidR="004165EC">
        <w:trPr>
          <w:cantSplit/>
          <w:tblHeader/>
        </w:trPr>
        <w:tc>
          <w:tcPr>
            <w:tcW w:w="804" w:type="dxa"/>
            <w:vMerge/>
            <w:tcBorders>
              <w:top w:val="single" w:sz="16" w:space="0" w:color="000000"/>
              <w:left w:val="single" w:sz="16" w:space="0" w:color="000000"/>
              <w:bottom w:val="single" w:sz="16" w:space="0" w:color="000000"/>
              <w:right w:val="single" w:sz="16" w:space="0" w:color="000000"/>
            </w:tcBorders>
            <w:shd w:val="clear" w:color="auto" w:fill="FFFFFF"/>
            <w:vAlign w:val="bottom"/>
          </w:tcPr>
          <w:p w:rsidR="004165EC" w:rsidRDefault="004165EC">
            <w:pPr>
              <w:spacing w:line="360" w:lineRule="auto"/>
              <w:rPr>
                <w:rFonts w:ascii="宋体" w:hAnsi="宋体"/>
                <w:sz w:val="18"/>
              </w:rPr>
            </w:pPr>
          </w:p>
        </w:tc>
        <w:tc>
          <w:tcPr>
            <w:tcW w:w="666" w:type="dxa"/>
            <w:tcBorders>
              <w:top w:val="single" w:sz="8" w:space="0" w:color="000000"/>
              <w:left w:val="single" w:sz="16"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Total</w:t>
            </w:r>
          </w:p>
        </w:tc>
        <w:tc>
          <w:tcPr>
            <w:tcW w:w="899"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 of Variance</w:t>
            </w:r>
          </w:p>
        </w:tc>
        <w:tc>
          <w:tcPr>
            <w:tcW w:w="911"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Cumulative %</w:t>
            </w:r>
          </w:p>
        </w:tc>
        <w:tc>
          <w:tcPr>
            <w:tcW w:w="724"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Total</w:t>
            </w:r>
          </w:p>
        </w:tc>
        <w:tc>
          <w:tcPr>
            <w:tcW w:w="901"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 of Variance</w:t>
            </w:r>
          </w:p>
        </w:tc>
        <w:tc>
          <w:tcPr>
            <w:tcW w:w="909"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Cumulative %</w:t>
            </w:r>
          </w:p>
        </w:tc>
        <w:tc>
          <w:tcPr>
            <w:tcW w:w="701"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Total</w:t>
            </w:r>
          </w:p>
        </w:tc>
        <w:tc>
          <w:tcPr>
            <w:tcW w:w="901"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 of Variance</w:t>
            </w:r>
          </w:p>
        </w:tc>
        <w:tc>
          <w:tcPr>
            <w:tcW w:w="910" w:type="dxa"/>
            <w:tcBorders>
              <w:top w:val="single" w:sz="8" w:space="0" w:color="000000"/>
              <w:left w:val="single" w:sz="8" w:space="0" w:color="000000"/>
              <w:bottom w:val="single" w:sz="16" w:space="0" w:color="000000"/>
              <w:right w:val="single" w:sz="16"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Cumulative %</w:t>
            </w:r>
          </w:p>
        </w:tc>
      </w:tr>
      <w:tr w:rsidR="004165EC">
        <w:trPr>
          <w:cantSplit/>
          <w:tblHeader/>
        </w:trPr>
        <w:tc>
          <w:tcPr>
            <w:tcW w:w="804" w:type="dxa"/>
            <w:tcBorders>
              <w:top w:val="single" w:sz="16" w:space="0" w:color="000000"/>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1</w:t>
            </w:r>
          </w:p>
        </w:tc>
        <w:tc>
          <w:tcPr>
            <w:tcW w:w="666" w:type="dxa"/>
            <w:tcBorders>
              <w:top w:val="single" w:sz="16" w:space="0" w:color="000000"/>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6.026</w:t>
            </w:r>
          </w:p>
        </w:tc>
        <w:tc>
          <w:tcPr>
            <w:tcW w:w="899"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54.780</w:t>
            </w:r>
          </w:p>
        </w:tc>
        <w:tc>
          <w:tcPr>
            <w:tcW w:w="911"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54.780</w:t>
            </w:r>
          </w:p>
        </w:tc>
        <w:tc>
          <w:tcPr>
            <w:tcW w:w="724"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6.026</w:t>
            </w:r>
          </w:p>
        </w:tc>
        <w:tc>
          <w:tcPr>
            <w:tcW w:w="901"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54.780</w:t>
            </w:r>
          </w:p>
        </w:tc>
        <w:tc>
          <w:tcPr>
            <w:tcW w:w="909"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54.780</w:t>
            </w:r>
          </w:p>
        </w:tc>
        <w:tc>
          <w:tcPr>
            <w:tcW w:w="701"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5.973</w:t>
            </w:r>
          </w:p>
        </w:tc>
        <w:tc>
          <w:tcPr>
            <w:tcW w:w="901"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54.300</w:t>
            </w:r>
          </w:p>
        </w:tc>
        <w:tc>
          <w:tcPr>
            <w:tcW w:w="910" w:type="dxa"/>
            <w:tcBorders>
              <w:top w:val="single" w:sz="16" w:space="0" w:color="000000"/>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54.300</w:t>
            </w: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2</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2.299</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20.902</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75.682</w:t>
            </w:r>
          </w:p>
        </w:tc>
        <w:tc>
          <w:tcPr>
            <w:tcW w:w="724"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2.299</w:t>
            </w:r>
          </w:p>
        </w:tc>
        <w:tc>
          <w:tcPr>
            <w:tcW w:w="9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20.902</w:t>
            </w:r>
          </w:p>
        </w:tc>
        <w:tc>
          <w:tcPr>
            <w:tcW w:w="9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75.682</w:t>
            </w:r>
          </w:p>
        </w:tc>
        <w:tc>
          <w:tcPr>
            <w:tcW w:w="7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2.184</w:t>
            </w:r>
          </w:p>
        </w:tc>
        <w:tc>
          <w:tcPr>
            <w:tcW w:w="9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19.851</w:t>
            </w:r>
          </w:p>
        </w:tc>
        <w:tc>
          <w:tcPr>
            <w:tcW w:w="9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74.151</w:t>
            </w: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3</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1.067</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9.701</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85.383</w:t>
            </w:r>
          </w:p>
        </w:tc>
        <w:tc>
          <w:tcPr>
            <w:tcW w:w="724"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1.067</w:t>
            </w:r>
          </w:p>
        </w:tc>
        <w:tc>
          <w:tcPr>
            <w:tcW w:w="9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9.701</w:t>
            </w:r>
          </w:p>
        </w:tc>
        <w:tc>
          <w:tcPr>
            <w:tcW w:w="9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85.383</w:t>
            </w:r>
          </w:p>
        </w:tc>
        <w:tc>
          <w:tcPr>
            <w:tcW w:w="7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1.005</w:t>
            </w:r>
          </w:p>
        </w:tc>
        <w:tc>
          <w:tcPr>
            <w:tcW w:w="9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9.133</w:t>
            </w:r>
          </w:p>
        </w:tc>
        <w:tc>
          <w:tcPr>
            <w:tcW w:w="9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83.284</w:t>
            </w: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4</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.750</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6.821</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92.204</w:t>
            </w:r>
          </w:p>
        </w:tc>
        <w:tc>
          <w:tcPr>
            <w:tcW w:w="724"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.750</w:t>
            </w:r>
          </w:p>
        </w:tc>
        <w:tc>
          <w:tcPr>
            <w:tcW w:w="9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6.821</w:t>
            </w:r>
          </w:p>
        </w:tc>
        <w:tc>
          <w:tcPr>
            <w:tcW w:w="9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92.204</w:t>
            </w:r>
          </w:p>
        </w:tc>
        <w:tc>
          <w:tcPr>
            <w:tcW w:w="7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.981</w:t>
            </w:r>
          </w:p>
        </w:tc>
        <w:tc>
          <w:tcPr>
            <w:tcW w:w="90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8.920</w:t>
            </w:r>
          </w:p>
        </w:tc>
        <w:tc>
          <w:tcPr>
            <w:tcW w:w="9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92.204</w:t>
            </w: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5</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.650</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5.907</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98.111</w:t>
            </w:r>
          </w:p>
        </w:tc>
        <w:tc>
          <w:tcPr>
            <w:tcW w:w="724"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9"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7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10" w:type="dxa"/>
            <w:tcBorders>
              <w:left w:val="single" w:sz="8" w:space="0" w:color="000000"/>
              <w:right w:val="single" w:sz="16" w:space="0" w:color="000000"/>
            </w:tcBorders>
            <w:shd w:val="clear" w:color="auto" w:fill="FFFFFF"/>
            <w:vAlign w:val="center"/>
          </w:tcPr>
          <w:p w:rsidR="004165EC" w:rsidRDefault="004165EC">
            <w:pPr>
              <w:spacing w:line="360" w:lineRule="auto"/>
              <w:jc w:val="center"/>
              <w:rPr>
                <w:rFonts w:ascii="宋体" w:hAnsi="宋体"/>
              </w:rPr>
            </w:pP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6</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.182</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1.656</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99.767</w:t>
            </w:r>
          </w:p>
        </w:tc>
        <w:tc>
          <w:tcPr>
            <w:tcW w:w="724"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9"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7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10" w:type="dxa"/>
            <w:tcBorders>
              <w:left w:val="single" w:sz="8" w:space="0" w:color="000000"/>
              <w:right w:val="single" w:sz="16" w:space="0" w:color="000000"/>
            </w:tcBorders>
            <w:shd w:val="clear" w:color="auto" w:fill="FFFFFF"/>
            <w:vAlign w:val="center"/>
          </w:tcPr>
          <w:p w:rsidR="004165EC" w:rsidRDefault="004165EC">
            <w:pPr>
              <w:spacing w:line="360" w:lineRule="auto"/>
              <w:jc w:val="center"/>
              <w:rPr>
                <w:rFonts w:ascii="宋体" w:hAnsi="宋体"/>
              </w:rPr>
            </w:pP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7</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.023</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.209</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99.977</w:t>
            </w:r>
          </w:p>
        </w:tc>
        <w:tc>
          <w:tcPr>
            <w:tcW w:w="724"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9"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7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10" w:type="dxa"/>
            <w:tcBorders>
              <w:left w:val="single" w:sz="8" w:space="0" w:color="000000"/>
              <w:right w:val="single" w:sz="16" w:space="0" w:color="000000"/>
            </w:tcBorders>
            <w:shd w:val="clear" w:color="auto" w:fill="FFFFFF"/>
            <w:vAlign w:val="center"/>
          </w:tcPr>
          <w:p w:rsidR="004165EC" w:rsidRDefault="004165EC">
            <w:pPr>
              <w:spacing w:line="360" w:lineRule="auto"/>
              <w:jc w:val="center"/>
              <w:rPr>
                <w:rFonts w:ascii="宋体" w:hAnsi="宋体"/>
              </w:rPr>
            </w:pP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8</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.003</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.023</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100.000</w:t>
            </w:r>
          </w:p>
        </w:tc>
        <w:tc>
          <w:tcPr>
            <w:tcW w:w="724"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9"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7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10" w:type="dxa"/>
            <w:tcBorders>
              <w:left w:val="single" w:sz="8" w:space="0" w:color="000000"/>
              <w:right w:val="single" w:sz="16" w:space="0" w:color="000000"/>
            </w:tcBorders>
            <w:shd w:val="clear" w:color="auto" w:fill="FFFFFF"/>
            <w:vAlign w:val="center"/>
          </w:tcPr>
          <w:p w:rsidR="004165EC" w:rsidRDefault="004165EC">
            <w:pPr>
              <w:spacing w:line="360" w:lineRule="auto"/>
              <w:jc w:val="center"/>
              <w:rPr>
                <w:rFonts w:ascii="宋体" w:hAnsi="宋体"/>
              </w:rPr>
            </w:pP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9</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6.771E-6</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6.156E-5</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100.000</w:t>
            </w:r>
          </w:p>
        </w:tc>
        <w:tc>
          <w:tcPr>
            <w:tcW w:w="724"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9"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7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10" w:type="dxa"/>
            <w:tcBorders>
              <w:left w:val="single" w:sz="8" w:space="0" w:color="000000"/>
              <w:right w:val="single" w:sz="16" w:space="0" w:color="000000"/>
            </w:tcBorders>
            <w:shd w:val="clear" w:color="auto" w:fill="FFFFFF"/>
            <w:vAlign w:val="center"/>
          </w:tcPr>
          <w:p w:rsidR="004165EC" w:rsidRDefault="004165EC">
            <w:pPr>
              <w:spacing w:line="360" w:lineRule="auto"/>
              <w:jc w:val="center"/>
              <w:rPr>
                <w:rFonts w:ascii="宋体" w:hAnsi="宋体"/>
              </w:rPr>
            </w:pPr>
          </w:p>
        </w:tc>
      </w:tr>
      <w:tr w:rsidR="004165EC">
        <w:trPr>
          <w:cantSplit/>
          <w:tblHeader/>
        </w:trPr>
        <w:tc>
          <w:tcPr>
            <w:tcW w:w="804"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10</w:t>
            </w:r>
          </w:p>
        </w:tc>
        <w:tc>
          <w:tcPr>
            <w:tcW w:w="666"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5.220E-7</w:t>
            </w:r>
          </w:p>
        </w:tc>
        <w:tc>
          <w:tcPr>
            <w:tcW w:w="89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4.746E-6</w:t>
            </w:r>
          </w:p>
        </w:tc>
        <w:tc>
          <w:tcPr>
            <w:tcW w:w="911"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100.000</w:t>
            </w:r>
          </w:p>
        </w:tc>
        <w:tc>
          <w:tcPr>
            <w:tcW w:w="724"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9"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7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10" w:type="dxa"/>
            <w:tcBorders>
              <w:left w:val="single" w:sz="8" w:space="0" w:color="000000"/>
              <w:right w:val="single" w:sz="16" w:space="0" w:color="000000"/>
            </w:tcBorders>
            <w:shd w:val="clear" w:color="auto" w:fill="FFFFFF"/>
            <w:vAlign w:val="center"/>
          </w:tcPr>
          <w:p w:rsidR="004165EC" w:rsidRDefault="004165EC">
            <w:pPr>
              <w:spacing w:line="360" w:lineRule="auto"/>
              <w:jc w:val="center"/>
              <w:rPr>
                <w:rFonts w:ascii="宋体" w:hAnsi="宋体"/>
              </w:rPr>
            </w:pPr>
          </w:p>
        </w:tc>
      </w:tr>
      <w:tr w:rsidR="004165EC">
        <w:trPr>
          <w:cantSplit/>
          <w:tblHeader/>
        </w:trPr>
        <w:tc>
          <w:tcPr>
            <w:tcW w:w="804" w:type="dxa"/>
            <w:tcBorders>
              <w:left w:val="single" w:sz="16" w:space="0" w:color="000000"/>
              <w:bottom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11</w:t>
            </w:r>
          </w:p>
        </w:tc>
        <w:tc>
          <w:tcPr>
            <w:tcW w:w="666" w:type="dxa"/>
            <w:tcBorders>
              <w:left w:val="single" w:sz="16" w:space="0" w:color="000000"/>
              <w:bottom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9.417E-8</w:t>
            </w:r>
          </w:p>
        </w:tc>
        <w:tc>
          <w:tcPr>
            <w:tcW w:w="899" w:type="dxa"/>
            <w:tcBorders>
              <w:left w:val="single" w:sz="8" w:space="0" w:color="000000"/>
              <w:bottom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8.561E-7</w:t>
            </w:r>
          </w:p>
        </w:tc>
        <w:tc>
          <w:tcPr>
            <w:tcW w:w="911" w:type="dxa"/>
            <w:tcBorders>
              <w:left w:val="single" w:sz="8" w:space="0" w:color="000000"/>
              <w:bottom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100.000</w:t>
            </w:r>
          </w:p>
        </w:tc>
        <w:tc>
          <w:tcPr>
            <w:tcW w:w="724" w:type="dxa"/>
            <w:tcBorders>
              <w:left w:val="single" w:sz="8" w:space="0" w:color="000000"/>
              <w:bottom w:val="single" w:sz="16"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bottom w:val="single" w:sz="16"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9" w:type="dxa"/>
            <w:tcBorders>
              <w:left w:val="single" w:sz="8" w:space="0" w:color="000000"/>
              <w:bottom w:val="single" w:sz="16"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701" w:type="dxa"/>
            <w:tcBorders>
              <w:left w:val="single" w:sz="8" w:space="0" w:color="000000"/>
              <w:bottom w:val="single" w:sz="16"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01" w:type="dxa"/>
            <w:tcBorders>
              <w:left w:val="single" w:sz="8" w:space="0" w:color="000000"/>
              <w:bottom w:val="single" w:sz="16" w:space="0" w:color="000000"/>
              <w:right w:val="single" w:sz="8" w:space="0" w:color="000000"/>
            </w:tcBorders>
            <w:shd w:val="clear" w:color="auto" w:fill="FFFFFF"/>
            <w:vAlign w:val="center"/>
          </w:tcPr>
          <w:p w:rsidR="004165EC" w:rsidRDefault="004165EC">
            <w:pPr>
              <w:spacing w:line="360" w:lineRule="auto"/>
              <w:jc w:val="center"/>
              <w:rPr>
                <w:rFonts w:ascii="宋体" w:hAnsi="宋体"/>
              </w:rPr>
            </w:pPr>
          </w:p>
        </w:tc>
        <w:tc>
          <w:tcPr>
            <w:tcW w:w="910" w:type="dxa"/>
            <w:tcBorders>
              <w:left w:val="single" w:sz="8" w:space="0" w:color="000000"/>
              <w:bottom w:val="single" w:sz="16" w:space="0" w:color="000000"/>
              <w:right w:val="single" w:sz="16" w:space="0" w:color="000000"/>
            </w:tcBorders>
            <w:shd w:val="clear" w:color="auto" w:fill="FFFFFF"/>
            <w:vAlign w:val="center"/>
          </w:tcPr>
          <w:p w:rsidR="004165EC" w:rsidRDefault="004165EC">
            <w:pPr>
              <w:spacing w:line="360" w:lineRule="auto"/>
              <w:jc w:val="center"/>
              <w:rPr>
                <w:rFonts w:ascii="宋体" w:hAnsi="宋体"/>
              </w:rPr>
            </w:pPr>
          </w:p>
        </w:tc>
      </w:tr>
      <w:tr w:rsidR="004165EC">
        <w:trPr>
          <w:cantSplit/>
        </w:trPr>
        <w:tc>
          <w:tcPr>
            <w:tcW w:w="8326" w:type="dxa"/>
            <w:gridSpan w:val="10"/>
            <w:shd w:val="clear" w:color="auto" w:fill="FFFFFF"/>
          </w:tcPr>
          <w:p w:rsidR="004165EC" w:rsidRDefault="00C97C8E">
            <w:pPr>
              <w:spacing w:line="360" w:lineRule="auto"/>
              <w:ind w:left="60" w:right="60"/>
              <w:rPr>
                <w:rFonts w:ascii="宋体" w:hAnsi="宋体"/>
                <w:sz w:val="18"/>
              </w:rPr>
            </w:pPr>
            <w:r>
              <w:rPr>
                <w:rFonts w:ascii="宋体" w:hAnsi="宋体"/>
                <w:sz w:val="18"/>
              </w:rPr>
              <w:t>Extraction Method: Principal Component Analysis.</w:t>
            </w:r>
          </w:p>
        </w:tc>
      </w:tr>
    </w:tbl>
    <w:p w:rsidR="004165EC" w:rsidRDefault="00C97C8E">
      <w:pPr>
        <w:spacing w:line="360" w:lineRule="auto"/>
        <w:ind w:firstLineChars="200" w:firstLine="420"/>
        <w:rPr>
          <w:rFonts w:ascii="宋体" w:hAnsi="宋体"/>
        </w:rPr>
      </w:pPr>
      <w:r>
        <w:rPr>
          <w:rFonts w:ascii="宋体" w:hAnsi="宋体" w:hint="eastAsia"/>
        </w:rPr>
        <w:t>根据上表，考虑到使得累积方差贡献率大于85%，同时考虑特征值大于或接近于1，我</w:t>
      </w:r>
      <w:r>
        <w:rPr>
          <w:rFonts w:ascii="宋体" w:hAnsi="宋体" w:hint="eastAsia"/>
        </w:rPr>
        <w:lastRenderedPageBreak/>
        <w:t>们选取4个主因子。此时，累计方差贡献率为92.204%，可见保留了大部分原始信息，效果良好。</w:t>
      </w:r>
    </w:p>
    <w:p w:rsidR="004165EC" w:rsidRDefault="00C97C8E">
      <w:pPr>
        <w:spacing w:line="360" w:lineRule="auto"/>
        <w:rPr>
          <w:rFonts w:ascii="宋体" w:hAnsi="宋体"/>
          <w:b/>
        </w:rPr>
      </w:pPr>
      <w:r>
        <w:rPr>
          <w:rFonts w:ascii="宋体" w:hAnsi="宋体" w:hint="eastAsia"/>
          <w:b/>
        </w:rPr>
        <w:t xml:space="preserve">    (3).因子解释</w:t>
      </w:r>
    </w:p>
    <w:p w:rsidR="004165EC" w:rsidRDefault="00C97C8E">
      <w:pPr>
        <w:spacing w:line="360" w:lineRule="auto"/>
        <w:ind w:firstLineChars="200" w:firstLine="420"/>
        <w:rPr>
          <w:rFonts w:ascii="宋体" w:hAnsi="宋体"/>
        </w:rPr>
      </w:pPr>
      <w:r>
        <w:rPr>
          <w:rFonts w:ascii="宋体" w:hAnsi="宋体" w:hint="eastAsia"/>
        </w:rPr>
        <w:t>正交旋转后的因子载荷矩阵如下表所示：</w:t>
      </w:r>
    </w:p>
    <w:tbl>
      <w:tblPr>
        <w:tblW w:w="520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65"/>
        <w:gridCol w:w="1010"/>
        <w:gridCol w:w="1009"/>
        <w:gridCol w:w="1010"/>
        <w:gridCol w:w="1010"/>
      </w:tblGrid>
      <w:tr w:rsidR="004165EC">
        <w:trPr>
          <w:cantSplit/>
          <w:tblHeader/>
        </w:trPr>
        <w:tc>
          <w:tcPr>
            <w:tcW w:w="5204" w:type="dxa"/>
            <w:gridSpan w:val="5"/>
            <w:shd w:val="clear" w:color="auto" w:fill="FFFFFF"/>
            <w:vAlign w:val="center"/>
          </w:tcPr>
          <w:p w:rsidR="004165EC" w:rsidRDefault="00C97C8E">
            <w:pPr>
              <w:spacing w:line="360" w:lineRule="auto"/>
              <w:ind w:left="60" w:right="60"/>
              <w:jc w:val="center"/>
              <w:rPr>
                <w:rFonts w:ascii="宋体" w:hAnsi="宋体"/>
                <w:sz w:val="18"/>
              </w:rPr>
            </w:pPr>
            <w:r>
              <w:rPr>
                <w:rFonts w:ascii="宋体" w:hAnsi="宋体"/>
                <w:b/>
                <w:sz w:val="18"/>
              </w:rPr>
              <w:t>Rotated Component Matrix</w:t>
            </w:r>
            <w:r>
              <w:rPr>
                <w:rFonts w:ascii="宋体" w:hAnsi="宋体"/>
                <w:b/>
                <w:sz w:val="18"/>
                <w:vertAlign w:val="superscript"/>
              </w:rPr>
              <w:t>a</w:t>
            </w:r>
          </w:p>
        </w:tc>
      </w:tr>
      <w:tr w:rsidR="004165EC">
        <w:trPr>
          <w:cantSplit/>
          <w:tblHeader/>
        </w:trPr>
        <w:tc>
          <w:tcPr>
            <w:tcW w:w="1165" w:type="dxa"/>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165EC" w:rsidRDefault="004165EC">
            <w:pPr>
              <w:spacing w:line="360" w:lineRule="auto"/>
              <w:jc w:val="center"/>
              <w:rPr>
                <w:rFonts w:ascii="宋体" w:hAnsi="宋体"/>
              </w:rPr>
            </w:pPr>
          </w:p>
        </w:tc>
        <w:tc>
          <w:tcPr>
            <w:tcW w:w="4039" w:type="dxa"/>
            <w:gridSpan w:val="4"/>
            <w:tcBorders>
              <w:top w:val="single" w:sz="16" w:space="0" w:color="000000"/>
              <w:left w:val="single" w:sz="16" w:space="0" w:color="000000"/>
              <w:right w:val="single" w:sz="16"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sz w:val="18"/>
              </w:rPr>
              <w:t>Component</w:t>
            </w:r>
          </w:p>
        </w:tc>
      </w:tr>
      <w:tr w:rsidR="004165EC">
        <w:trPr>
          <w:cantSplit/>
          <w:tblHeader/>
        </w:trPr>
        <w:tc>
          <w:tcPr>
            <w:tcW w:w="1165" w:type="dxa"/>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165EC" w:rsidRDefault="004165EC">
            <w:pPr>
              <w:spacing w:line="360" w:lineRule="auto"/>
              <w:rPr>
                <w:rFonts w:ascii="宋体" w:hAnsi="宋体"/>
                <w:sz w:val="18"/>
              </w:rPr>
            </w:pPr>
          </w:p>
        </w:tc>
        <w:tc>
          <w:tcPr>
            <w:tcW w:w="1010" w:type="dxa"/>
            <w:tcBorders>
              <w:top w:val="single" w:sz="8" w:space="0" w:color="000000"/>
              <w:left w:val="single" w:sz="16"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hint="eastAsia"/>
                <w:sz w:val="18"/>
              </w:rPr>
              <w:t>f</w:t>
            </w:r>
            <w:r>
              <w:rPr>
                <w:rFonts w:ascii="宋体" w:hAnsi="宋体"/>
                <w:sz w:val="18"/>
              </w:rPr>
              <w:t>1</w:t>
            </w:r>
          </w:p>
        </w:tc>
        <w:tc>
          <w:tcPr>
            <w:tcW w:w="1009"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hint="eastAsia"/>
                <w:sz w:val="18"/>
              </w:rPr>
              <w:t>f</w:t>
            </w:r>
            <w:r>
              <w:rPr>
                <w:rFonts w:ascii="宋体" w:hAnsi="宋体"/>
                <w:sz w:val="18"/>
              </w:rPr>
              <w:t>2</w:t>
            </w:r>
          </w:p>
        </w:tc>
        <w:tc>
          <w:tcPr>
            <w:tcW w:w="1010" w:type="dxa"/>
            <w:tcBorders>
              <w:top w:val="single" w:sz="8"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hint="eastAsia"/>
                <w:sz w:val="18"/>
              </w:rPr>
              <w:t>f</w:t>
            </w:r>
            <w:r>
              <w:rPr>
                <w:rFonts w:ascii="宋体" w:hAnsi="宋体"/>
                <w:sz w:val="18"/>
              </w:rPr>
              <w:t>3</w:t>
            </w:r>
          </w:p>
        </w:tc>
        <w:tc>
          <w:tcPr>
            <w:tcW w:w="1010" w:type="dxa"/>
            <w:tcBorders>
              <w:top w:val="single" w:sz="8" w:space="0" w:color="000000"/>
              <w:left w:val="single" w:sz="8" w:space="0" w:color="000000"/>
              <w:bottom w:val="single" w:sz="16" w:space="0" w:color="000000"/>
              <w:right w:val="single" w:sz="16" w:space="0" w:color="000000"/>
            </w:tcBorders>
            <w:shd w:val="clear" w:color="auto" w:fill="FFFFFF"/>
            <w:vAlign w:val="bottom"/>
          </w:tcPr>
          <w:p w:rsidR="004165EC" w:rsidRDefault="00C97C8E">
            <w:pPr>
              <w:spacing w:line="360" w:lineRule="auto"/>
              <w:ind w:left="60" w:right="60"/>
              <w:jc w:val="center"/>
              <w:rPr>
                <w:rFonts w:ascii="宋体" w:hAnsi="宋体"/>
                <w:sz w:val="18"/>
              </w:rPr>
            </w:pPr>
            <w:r>
              <w:rPr>
                <w:rFonts w:ascii="宋体" w:hAnsi="宋体" w:hint="eastAsia"/>
                <w:sz w:val="18"/>
              </w:rPr>
              <w:t>f</w:t>
            </w:r>
            <w:r>
              <w:rPr>
                <w:rFonts w:ascii="宋体" w:hAnsi="宋体"/>
                <w:sz w:val="18"/>
              </w:rPr>
              <w:t>4</w:t>
            </w:r>
          </w:p>
        </w:tc>
      </w:tr>
      <w:tr w:rsidR="004165EC">
        <w:trPr>
          <w:cantSplit/>
          <w:tblHeader/>
        </w:trPr>
        <w:tc>
          <w:tcPr>
            <w:tcW w:w="1165" w:type="dxa"/>
            <w:tcBorders>
              <w:top w:val="single" w:sz="16" w:space="0" w:color="000000"/>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VAR00001</w:t>
            </w:r>
          </w:p>
        </w:tc>
        <w:tc>
          <w:tcPr>
            <w:tcW w:w="1010" w:type="dxa"/>
            <w:tcBorders>
              <w:top w:val="single" w:sz="16" w:space="0" w:color="000000"/>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.996</w:t>
            </w:r>
          </w:p>
        </w:tc>
        <w:tc>
          <w:tcPr>
            <w:tcW w:w="1009"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-.030</w:t>
            </w:r>
          </w:p>
        </w:tc>
        <w:tc>
          <w:tcPr>
            <w:tcW w:w="1010" w:type="dxa"/>
            <w:tcBorders>
              <w:top w:val="single" w:sz="16" w:space="0" w:color="000000"/>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-.026</w:t>
            </w:r>
          </w:p>
        </w:tc>
        <w:tc>
          <w:tcPr>
            <w:tcW w:w="1010" w:type="dxa"/>
            <w:tcBorders>
              <w:top w:val="single" w:sz="16" w:space="0" w:color="000000"/>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.022</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VAR00002</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.996</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-.008</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.009</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.070</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VAR00003</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.996</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-.008</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.009</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.070</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VAR00004</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.995</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-.008</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.009</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.070</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VAR00005</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.991</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-.013</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.009</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.109</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VAR00006</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.996</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-.028</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.021</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.026</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VAR00007</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.043</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.892</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.046</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.073</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VAR00008</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-.096</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.702</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-.037</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.074</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VAR00009</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.019</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.925</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.047</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.063</w:t>
            </w:r>
          </w:p>
        </w:tc>
      </w:tr>
      <w:tr w:rsidR="004165EC">
        <w:trPr>
          <w:cantSplit/>
          <w:tblHeader/>
        </w:trPr>
        <w:tc>
          <w:tcPr>
            <w:tcW w:w="1165" w:type="dxa"/>
            <w:tcBorders>
              <w:left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VAR00010</w:t>
            </w:r>
          </w:p>
        </w:tc>
        <w:tc>
          <w:tcPr>
            <w:tcW w:w="1010" w:type="dxa"/>
            <w:tcBorders>
              <w:left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.151</w:t>
            </w:r>
          </w:p>
        </w:tc>
        <w:tc>
          <w:tcPr>
            <w:tcW w:w="1009"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.191</w:t>
            </w:r>
          </w:p>
        </w:tc>
        <w:tc>
          <w:tcPr>
            <w:tcW w:w="1010" w:type="dxa"/>
            <w:tcBorders>
              <w:left w:val="single" w:sz="8"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.093</w:t>
            </w:r>
          </w:p>
        </w:tc>
        <w:tc>
          <w:tcPr>
            <w:tcW w:w="1010" w:type="dxa"/>
            <w:tcBorders>
              <w:left w:val="single" w:sz="8"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.965</w:t>
            </w:r>
          </w:p>
        </w:tc>
      </w:tr>
      <w:tr w:rsidR="004165EC">
        <w:trPr>
          <w:cantSplit/>
          <w:tblHeader/>
        </w:trPr>
        <w:tc>
          <w:tcPr>
            <w:tcW w:w="1165" w:type="dxa"/>
            <w:tcBorders>
              <w:left w:val="single" w:sz="16" w:space="0" w:color="000000"/>
              <w:bottom w:val="single" w:sz="16" w:space="0" w:color="000000"/>
              <w:right w:val="single" w:sz="16" w:space="0" w:color="000000"/>
            </w:tcBorders>
            <w:shd w:val="clear" w:color="auto" w:fill="FFFFFF"/>
          </w:tcPr>
          <w:p w:rsidR="004165EC" w:rsidRDefault="00C97C8E">
            <w:pPr>
              <w:spacing w:line="360" w:lineRule="auto"/>
              <w:ind w:left="60" w:right="60"/>
              <w:rPr>
                <w:rFonts w:ascii="宋体" w:hAnsi="宋体"/>
                <w:sz w:val="18"/>
              </w:rPr>
            </w:pPr>
            <w:r>
              <w:rPr>
                <w:rFonts w:ascii="宋体" w:hAnsi="宋体"/>
                <w:sz w:val="18"/>
              </w:rPr>
              <w:t>VAR00011</w:t>
            </w:r>
          </w:p>
        </w:tc>
        <w:tc>
          <w:tcPr>
            <w:tcW w:w="1010" w:type="dxa"/>
            <w:tcBorders>
              <w:left w:val="single" w:sz="16" w:space="0" w:color="000000"/>
              <w:bottom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.004</w:t>
            </w:r>
          </w:p>
        </w:tc>
        <w:tc>
          <w:tcPr>
            <w:tcW w:w="1009" w:type="dxa"/>
            <w:tcBorders>
              <w:left w:val="single" w:sz="8" w:space="0" w:color="000000"/>
              <w:bottom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.033</w:t>
            </w:r>
          </w:p>
        </w:tc>
        <w:tc>
          <w:tcPr>
            <w:tcW w:w="1010" w:type="dxa"/>
            <w:tcBorders>
              <w:left w:val="single" w:sz="8" w:space="0" w:color="000000"/>
              <w:bottom w:val="single" w:sz="16" w:space="0" w:color="000000"/>
              <w:right w:val="single" w:sz="8"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.994</w:t>
            </w:r>
          </w:p>
        </w:tc>
        <w:tc>
          <w:tcPr>
            <w:tcW w:w="1010" w:type="dxa"/>
            <w:tcBorders>
              <w:left w:val="single" w:sz="8" w:space="0" w:color="000000"/>
              <w:bottom w:val="single" w:sz="16" w:space="0" w:color="000000"/>
              <w:right w:val="single" w:sz="16" w:space="0" w:color="000000"/>
            </w:tcBorders>
            <w:shd w:val="clear" w:color="auto" w:fill="FFFFFF"/>
          </w:tcPr>
          <w:p w:rsidR="004165EC" w:rsidRDefault="00C97C8E">
            <w:pPr>
              <w:spacing w:line="360" w:lineRule="auto"/>
              <w:ind w:left="60" w:right="60"/>
              <w:jc w:val="right"/>
              <w:rPr>
                <w:rFonts w:ascii="宋体" w:hAnsi="宋体"/>
                <w:sz w:val="18"/>
              </w:rPr>
            </w:pPr>
            <w:r>
              <w:rPr>
                <w:rFonts w:ascii="宋体" w:hAnsi="宋体"/>
                <w:sz w:val="18"/>
              </w:rPr>
              <w:t>.085</w:t>
            </w:r>
          </w:p>
        </w:tc>
      </w:tr>
      <w:tr w:rsidR="004165EC">
        <w:trPr>
          <w:cantSplit/>
          <w:tblHeader/>
        </w:trPr>
        <w:tc>
          <w:tcPr>
            <w:tcW w:w="5204" w:type="dxa"/>
            <w:gridSpan w:val="5"/>
            <w:shd w:val="clear" w:color="auto" w:fill="FFFFFF"/>
          </w:tcPr>
          <w:p w:rsidR="004165EC" w:rsidRDefault="00C97C8E">
            <w:pPr>
              <w:spacing w:line="360" w:lineRule="auto"/>
              <w:ind w:left="60" w:right="60"/>
              <w:rPr>
                <w:rFonts w:ascii="宋体" w:hAnsi="宋体"/>
                <w:sz w:val="18"/>
              </w:rPr>
            </w:pPr>
            <w:r>
              <w:rPr>
                <w:rFonts w:ascii="宋体" w:hAnsi="宋体"/>
                <w:sz w:val="18"/>
              </w:rPr>
              <w:t xml:space="preserve">Extraction Method: Principal Component Analysis. </w:t>
            </w:r>
          </w:p>
          <w:p w:rsidR="004165EC" w:rsidRDefault="00C97C8E">
            <w:pPr>
              <w:spacing w:line="360" w:lineRule="auto"/>
              <w:ind w:left="60" w:right="60"/>
              <w:rPr>
                <w:rFonts w:ascii="宋体" w:hAnsi="宋体"/>
                <w:sz w:val="18"/>
              </w:rPr>
            </w:pPr>
            <w:r>
              <w:rPr>
                <w:rFonts w:ascii="宋体" w:hAnsi="宋体"/>
                <w:sz w:val="18"/>
              </w:rPr>
              <w:t xml:space="preserve"> Rotation Method: Varimax with Kaiser Normalization.</w:t>
            </w:r>
          </w:p>
        </w:tc>
      </w:tr>
      <w:tr w:rsidR="004165EC">
        <w:trPr>
          <w:cantSplit/>
        </w:trPr>
        <w:tc>
          <w:tcPr>
            <w:tcW w:w="5204" w:type="dxa"/>
            <w:gridSpan w:val="5"/>
            <w:shd w:val="clear" w:color="auto" w:fill="FFFFFF"/>
          </w:tcPr>
          <w:p w:rsidR="004165EC" w:rsidRDefault="00C97C8E">
            <w:pPr>
              <w:spacing w:line="360" w:lineRule="auto"/>
              <w:ind w:left="60" w:right="60"/>
              <w:rPr>
                <w:rFonts w:ascii="宋体" w:hAnsi="宋体"/>
                <w:sz w:val="18"/>
              </w:rPr>
            </w:pPr>
            <w:r>
              <w:rPr>
                <w:rFonts w:ascii="宋体" w:hAnsi="宋体"/>
                <w:sz w:val="18"/>
              </w:rPr>
              <w:t>a. Rotation converged in 4 iterations.</w:t>
            </w:r>
          </w:p>
        </w:tc>
      </w:tr>
    </w:tbl>
    <w:p w:rsidR="004165EC" w:rsidRDefault="00C97C8E">
      <w:pPr>
        <w:spacing w:line="360" w:lineRule="auto"/>
        <w:ind w:firstLineChars="200" w:firstLine="420"/>
        <w:rPr>
          <w:rFonts w:ascii="宋体" w:hAnsi="宋体"/>
        </w:rPr>
      </w:pPr>
      <w:r>
        <w:rPr>
          <w:rFonts w:ascii="宋体" w:hAnsi="宋体" w:hint="eastAsia"/>
        </w:rPr>
        <w:t>由上表可以看出：</w:t>
      </w:r>
    </w:p>
    <w:p w:rsidR="004165EC" w:rsidRDefault="00C97C8E">
      <w:pPr>
        <w:spacing w:line="360" w:lineRule="auto"/>
        <w:ind w:firstLineChars="200" w:firstLine="420"/>
        <w:rPr>
          <w:rFonts w:ascii="宋体" w:hAnsi="宋体"/>
        </w:rPr>
      </w:pPr>
      <w:r>
        <w:rPr>
          <w:rFonts w:ascii="宋体" w:hAnsi="宋体" w:hint="eastAsia"/>
        </w:rPr>
        <w:t>（1）第一主因子f1描述第一个变量到第六个变量（前结算价，开盘价，</w:t>
      </w:r>
      <w:proofErr w:type="gramStart"/>
      <w:r>
        <w:rPr>
          <w:rFonts w:ascii="宋体" w:hAnsi="宋体" w:hint="eastAsia"/>
        </w:rPr>
        <w:t>最</w:t>
      </w:r>
      <w:proofErr w:type="gramEnd"/>
      <w:r>
        <w:rPr>
          <w:rFonts w:ascii="宋体" w:hAnsi="宋体" w:hint="eastAsia"/>
        </w:rPr>
        <w:t>高价，最低价，收盘价，结算价），衡量的是期货品种日交易的基本数据，反映市场资金对该产品的关注</w:t>
      </w:r>
      <w:proofErr w:type="gramStart"/>
      <w:r>
        <w:rPr>
          <w:rFonts w:ascii="宋体" w:hAnsi="宋体" w:hint="eastAsia"/>
        </w:rPr>
        <w:t>度或者</w:t>
      </w:r>
      <w:proofErr w:type="gramEnd"/>
      <w:r>
        <w:rPr>
          <w:rFonts w:ascii="宋体" w:hAnsi="宋体" w:hint="eastAsia"/>
        </w:rPr>
        <w:t>说是该产品吸引资金的能力，体现一个期货品种的基本性能和整体特点，因此可以命名为基能因子。</w:t>
      </w:r>
    </w:p>
    <w:p w:rsidR="004165EC" w:rsidRDefault="00C97C8E">
      <w:pPr>
        <w:spacing w:line="360" w:lineRule="auto"/>
        <w:ind w:firstLineChars="200" w:firstLine="420"/>
        <w:rPr>
          <w:rFonts w:ascii="宋体" w:hAnsi="宋体"/>
        </w:rPr>
      </w:pPr>
      <w:r>
        <w:rPr>
          <w:rFonts w:ascii="宋体" w:hAnsi="宋体" w:hint="eastAsia"/>
        </w:rPr>
        <w:t>（2）第二主因子f2描述第7、8、9个变量（成交量，成交金额，持仓量），成交量反映了市场的投资热情及投资者对该产品的熟悉程度。成交额与其具有相同意义。而持仓量的大小则反映了市场交易规模的大小。因此第二主因子可以命名为活跃度因子</w:t>
      </w:r>
    </w:p>
    <w:p w:rsidR="004165EC" w:rsidRDefault="00C97C8E">
      <w:pPr>
        <w:spacing w:line="360" w:lineRule="auto"/>
        <w:ind w:firstLineChars="200" w:firstLine="420"/>
        <w:rPr>
          <w:rFonts w:ascii="宋体" w:hAnsi="宋体"/>
        </w:rPr>
      </w:pPr>
      <w:r>
        <w:rPr>
          <w:rFonts w:ascii="宋体" w:hAnsi="宋体" w:hint="eastAsia"/>
        </w:rPr>
        <w:lastRenderedPageBreak/>
        <w:t>（3）第三主因子f3描述第10个变量：涨跌幅1，反映该品种期货的波动情况，命名为主波动情况因子。</w:t>
      </w:r>
    </w:p>
    <w:p w:rsidR="004165EC" w:rsidRDefault="00C97C8E">
      <w:pPr>
        <w:spacing w:line="360" w:lineRule="auto"/>
        <w:ind w:firstLineChars="200" w:firstLine="420"/>
        <w:rPr>
          <w:rFonts w:ascii="宋体" w:hAnsi="宋体"/>
          <w:b/>
        </w:rPr>
      </w:pPr>
      <w:r>
        <w:rPr>
          <w:rFonts w:ascii="宋体" w:hAnsi="宋体" w:hint="eastAsia"/>
        </w:rPr>
        <w:t>（4）第四主因子f4描述第11个变量：涨跌幅2，亦反映该品种期货的波动情况，命名为副波动情况因子。</w:t>
      </w:r>
    </w:p>
    <w:p w:rsidR="004165EC" w:rsidRDefault="00C97C8E">
      <w:pPr>
        <w:spacing w:line="360" w:lineRule="auto"/>
        <w:rPr>
          <w:rFonts w:ascii="宋体" w:hAnsi="宋体"/>
          <w:b/>
          <w:color w:val="FF0000"/>
        </w:rPr>
      </w:pPr>
      <w:r>
        <w:rPr>
          <w:rFonts w:ascii="宋体" w:hAnsi="宋体" w:hint="eastAsia"/>
          <w:b/>
          <w:color w:val="FF0000"/>
        </w:rPr>
        <w:t xml:space="preserve">   </w:t>
      </w:r>
      <w:r>
        <w:rPr>
          <w:rFonts w:ascii="宋体" w:hAnsi="宋体" w:hint="eastAsia"/>
          <w:b/>
        </w:rPr>
        <w:t xml:space="preserve"> (4).得分分析</w:t>
      </w:r>
    </w:p>
    <w:p w:rsidR="004165EC" w:rsidRDefault="00C97C8E">
      <w:pPr>
        <w:spacing w:line="360" w:lineRule="auto"/>
        <w:rPr>
          <w:rFonts w:ascii="宋体" w:hAnsi="宋体"/>
          <w:szCs w:val="21"/>
        </w:rPr>
      </w:pPr>
      <w:r>
        <w:rPr>
          <w:rFonts w:ascii="宋体" w:hAnsi="宋体" w:hint="eastAsia"/>
          <w:szCs w:val="21"/>
        </w:rPr>
        <w:t xml:space="preserve">    利用回归</w:t>
      </w:r>
      <w:proofErr w:type="gramStart"/>
      <w:r>
        <w:rPr>
          <w:rFonts w:ascii="宋体" w:hAnsi="宋体" w:hint="eastAsia"/>
          <w:szCs w:val="21"/>
        </w:rPr>
        <w:t>法估计</w:t>
      </w:r>
      <w:proofErr w:type="gramEnd"/>
      <w:r>
        <w:rPr>
          <w:rFonts w:ascii="宋体" w:hAnsi="宋体" w:hint="eastAsia"/>
          <w:szCs w:val="21"/>
        </w:rPr>
        <w:t>因子得分系数，根据各因子得分函数，计算出的因子得分。再以各个旋转后因子的方差贡献率占四个因子总方差贡献率的比重作为权数，就得到了各期货品种的综合得分函数：f</w:t>
      </w:r>
      <w:proofErr w:type="gramStart"/>
      <w:r>
        <w:rPr>
          <w:rFonts w:ascii="宋体" w:hAnsi="宋体" w:hint="eastAsia"/>
          <w:szCs w:val="21"/>
        </w:rPr>
        <w:t>=(</w:t>
      </w:r>
      <w:proofErr w:type="gramEnd"/>
      <w:r>
        <w:rPr>
          <w:rFonts w:ascii="宋体" w:hAnsi="宋体" w:hint="eastAsia"/>
          <w:szCs w:val="21"/>
        </w:rPr>
        <w:t>54.3f1+19.851f2+9.133f3+8.92f4)/92.204</w:t>
      </w:r>
    </w:p>
    <w:p w:rsidR="004165EC" w:rsidRDefault="00C97C8E">
      <w:pPr>
        <w:spacing w:line="360" w:lineRule="auto"/>
        <w:ind w:firstLineChars="200" w:firstLine="420"/>
        <w:rPr>
          <w:rFonts w:ascii="宋体" w:hAnsi="宋体"/>
          <w:szCs w:val="21"/>
        </w:rPr>
      </w:pPr>
      <w:r>
        <w:rPr>
          <w:rFonts w:ascii="宋体" w:hAnsi="宋体" w:hint="eastAsia"/>
          <w:szCs w:val="21"/>
        </w:rPr>
        <w:t>根据得分分析和综合得分函数对2013年在交易的40个商品期货品种进行排序：</w:t>
      </w:r>
    </w:p>
    <w:bookmarkStart w:id="1" w:name="_MON_1478791228"/>
    <w:bookmarkEnd w:id="1"/>
    <w:p w:rsidR="004165EC" w:rsidRDefault="00C97C8E">
      <w:pPr>
        <w:spacing w:line="360" w:lineRule="auto"/>
        <w:ind w:firstLineChars="200" w:firstLine="420"/>
        <w:rPr>
          <w:rFonts w:ascii="宋体" w:hAnsi="宋体"/>
          <w:szCs w:val="21"/>
        </w:rPr>
      </w:pPr>
      <w:r>
        <w:rPr>
          <w:rFonts w:ascii="宋体" w:hAnsi="宋体"/>
          <w:szCs w:val="21"/>
        </w:rPr>
        <w:object w:dxaOrig="6990" w:dyaOrig="11130">
          <v:shape id="Picture 3" o:spid="_x0000_i1027" type="#_x0000_t75" style="width:349.5pt;height:556.5pt" o:ole="">
            <v:imagedata r:id="rId9" o:title=""/>
          </v:shape>
          <o:OLEObject Type="Embed" ProgID="Excel.Sheet.12" ShapeID="Picture 3" DrawAspect="Content" ObjectID="_1480851510" r:id="rId10"/>
        </w:object>
      </w:r>
    </w:p>
    <w:p w:rsidR="004165EC" w:rsidRDefault="00C97C8E">
      <w:pPr>
        <w:spacing w:line="360" w:lineRule="auto"/>
        <w:ind w:firstLineChars="200" w:firstLine="420"/>
        <w:rPr>
          <w:rFonts w:ascii="宋体" w:hAnsi="宋体"/>
          <w:szCs w:val="21"/>
        </w:rPr>
      </w:pPr>
      <w:r>
        <w:rPr>
          <w:rFonts w:ascii="宋体" w:hAnsi="宋体" w:hint="eastAsia"/>
          <w:szCs w:val="21"/>
        </w:rPr>
        <w:t>由上表可以看出，综合得分排名靠前的期货品种，大都在第一主因子——基能因子上得分排名较为靠前，同时在第二主因子——活跃度因子得分排名居中前方，在主波动因子（f3）和副波动因子(f4)上得分排名居中或者稍靠后。这表明，在期货市场表现良好的期货品种，本身具有优良的基础和资金吸引能力，活跃度良好，具有较好的波动性但波动幅度不会过大以致风险过高。</w:t>
      </w:r>
    </w:p>
    <w:p w:rsidR="004165EC" w:rsidRDefault="00C97C8E">
      <w:pPr>
        <w:spacing w:line="360" w:lineRule="auto"/>
        <w:ind w:firstLineChars="200" w:firstLine="420"/>
        <w:rPr>
          <w:rFonts w:ascii="宋体" w:hAnsi="宋体"/>
          <w:szCs w:val="21"/>
        </w:rPr>
      </w:pPr>
      <w:r>
        <w:rPr>
          <w:rFonts w:ascii="宋体" w:hAnsi="宋体" w:hint="eastAsia"/>
          <w:szCs w:val="21"/>
        </w:rPr>
        <w:t>我们再看综合得分排名靠后的几个品种，焦煤、铁矿石、黄金、纤维板和胶合板。这几</w:t>
      </w:r>
      <w:r>
        <w:rPr>
          <w:rFonts w:ascii="宋体" w:hAnsi="宋体" w:hint="eastAsia"/>
          <w:szCs w:val="21"/>
        </w:rPr>
        <w:lastRenderedPageBreak/>
        <w:t>个品种的基能因子和活跃度因子得分排名居中，但是主波动因子排名非常靠前，导致风险很高。</w:t>
      </w:r>
    </w:p>
    <w:p w:rsidR="004165EC" w:rsidRDefault="00C97C8E">
      <w:pPr>
        <w:spacing w:line="360" w:lineRule="auto"/>
        <w:ind w:firstLineChars="200" w:firstLine="420"/>
        <w:rPr>
          <w:rFonts w:ascii="宋体" w:hAnsi="宋体"/>
          <w:color w:val="000000"/>
          <w:szCs w:val="21"/>
        </w:rPr>
      </w:pPr>
      <w:r>
        <w:rPr>
          <w:rFonts w:ascii="宋体" w:hAnsi="宋体" w:hint="eastAsia"/>
          <w:szCs w:val="21"/>
        </w:rPr>
        <w:t>综上，我们可以得到如下结论：</w:t>
      </w:r>
      <w:r>
        <w:rPr>
          <w:rFonts w:ascii="宋体" w:hAnsi="宋体" w:hint="eastAsia"/>
          <w:color w:val="000000"/>
          <w:szCs w:val="21"/>
        </w:rPr>
        <w:t>得分排名靠前的品种在基本性能，活跃度和受欢迎度以及波动情况上综合表现良好，一般说来这样的期货品种比较活跃，波动情况足够良好存在获利机会的同时又不会存在过大风险，我们应该选取排名靠前的品种进行交易。</w:t>
      </w:r>
    </w:p>
    <w:p w:rsidR="004165EC" w:rsidRDefault="00C97C8E">
      <w:pPr>
        <w:spacing w:line="360" w:lineRule="auto"/>
        <w:ind w:firstLineChars="200" w:firstLine="420"/>
        <w:rPr>
          <w:rFonts w:ascii="宋体" w:hAnsi="宋体"/>
          <w:szCs w:val="21"/>
        </w:rPr>
      </w:pPr>
      <w:r>
        <w:rPr>
          <w:rFonts w:ascii="宋体" w:hAnsi="宋体" w:hint="eastAsia"/>
          <w:szCs w:val="21"/>
        </w:rPr>
        <w:t>综合得分</w:t>
      </w:r>
      <w:proofErr w:type="gramStart"/>
      <w:r>
        <w:rPr>
          <w:rFonts w:ascii="宋体" w:hAnsi="宋体" w:hint="eastAsia"/>
          <w:szCs w:val="21"/>
        </w:rPr>
        <w:t>按板块</w:t>
      </w:r>
      <w:proofErr w:type="gramEnd"/>
      <w:r>
        <w:rPr>
          <w:rFonts w:ascii="宋体" w:hAnsi="宋体" w:hint="eastAsia"/>
          <w:szCs w:val="21"/>
        </w:rPr>
        <w:t>排序如下表：</w:t>
      </w:r>
    </w:p>
    <w:p w:rsidR="004165EC" w:rsidRDefault="00C97C8E">
      <w:pPr>
        <w:spacing w:line="360" w:lineRule="auto"/>
        <w:ind w:firstLineChars="200" w:firstLine="420"/>
        <w:rPr>
          <w:rFonts w:ascii="宋体" w:hAnsi="宋体"/>
          <w:szCs w:val="21"/>
        </w:rPr>
      </w:pPr>
      <w:r>
        <w:rPr>
          <w:rFonts w:ascii="宋体" w:hAnsi="宋体"/>
          <w:szCs w:val="21"/>
        </w:rPr>
        <w:pict>
          <v:shape id="图片 210" o:spid="_x0000_i1028" type="#_x0000_t75" style="width:265.5pt;height:258.75pt">
            <v:imagedata r:id="rId11" o:title=""/>
          </v:shape>
        </w:pict>
      </w:r>
    </w:p>
    <w:p w:rsidR="004165EC" w:rsidRDefault="00C97C8E">
      <w:pPr>
        <w:spacing w:line="360" w:lineRule="auto"/>
        <w:rPr>
          <w:rFonts w:ascii="宋体" w:hAnsi="宋体"/>
          <w:b/>
          <w:bCs/>
          <w:szCs w:val="21"/>
        </w:rPr>
      </w:pPr>
      <w:r>
        <w:rPr>
          <w:rFonts w:ascii="宋体" w:hAnsi="宋体" w:hint="eastAsia"/>
          <w:szCs w:val="21"/>
        </w:rPr>
        <w:t xml:space="preserve">    </w:t>
      </w:r>
      <w:r>
        <w:rPr>
          <w:rFonts w:ascii="宋体" w:hAnsi="宋体" w:hint="eastAsia"/>
          <w:b/>
          <w:bCs/>
          <w:szCs w:val="21"/>
        </w:rPr>
        <w:t>（5）结论</w:t>
      </w:r>
    </w:p>
    <w:p w:rsidR="004165EC" w:rsidRDefault="00C97C8E">
      <w:pPr>
        <w:spacing w:line="360" w:lineRule="auto"/>
        <w:ind w:firstLineChars="200" w:firstLine="420"/>
        <w:rPr>
          <w:rFonts w:ascii="宋体" w:hAnsi="宋体"/>
          <w:color w:val="000000"/>
          <w:szCs w:val="21"/>
        </w:rPr>
      </w:pPr>
      <w:r>
        <w:rPr>
          <w:rFonts w:ascii="宋体" w:hAnsi="宋体" w:hint="eastAsia"/>
          <w:color w:val="000000"/>
          <w:szCs w:val="21"/>
        </w:rPr>
        <w:t>得分排名靠前的品种在基本性能，活跃度和受欢迎度以及波动情况上综合表现良好，一般说来这样的期货品种比较活跃，波动情况足够良好存在获利机会的同时又不会存在过大风险，我们应该选取排名靠前的品种进行交易。</w:t>
      </w:r>
    </w:p>
    <w:p w:rsidR="004165EC" w:rsidRDefault="00C97C8E">
      <w:pPr>
        <w:spacing w:line="360" w:lineRule="auto"/>
        <w:ind w:firstLineChars="200" w:firstLine="420"/>
        <w:rPr>
          <w:rFonts w:ascii="宋体" w:hAnsi="宋体"/>
          <w:szCs w:val="21"/>
        </w:rPr>
      </w:pPr>
      <w:r>
        <w:rPr>
          <w:rFonts w:ascii="宋体" w:hAnsi="宋体" w:hint="eastAsia"/>
          <w:szCs w:val="21"/>
        </w:rPr>
        <w:t>总的来说，农产品类和金属类期货品种在日交易基本情况、活跃度和波动情况上综合表现比较突出，排名相对靠前。其中铜、豆</w:t>
      </w:r>
      <w:proofErr w:type="gramStart"/>
      <w:r>
        <w:rPr>
          <w:rFonts w:ascii="宋体" w:hAnsi="宋体" w:hint="eastAsia"/>
          <w:szCs w:val="21"/>
        </w:rPr>
        <w:t>粕</w:t>
      </w:r>
      <w:proofErr w:type="gramEnd"/>
      <w:r>
        <w:rPr>
          <w:rFonts w:ascii="宋体" w:hAnsi="宋体" w:hint="eastAsia"/>
          <w:szCs w:val="21"/>
        </w:rPr>
        <w:t>、天然橡胶、棉花和锌排名前五；同时排在后五位的是早籼稻2、甲醇、动力煤、</w:t>
      </w:r>
      <w:proofErr w:type="gramStart"/>
      <w:r>
        <w:rPr>
          <w:rFonts w:ascii="宋体" w:hAnsi="宋体" w:hint="eastAsia"/>
          <w:szCs w:val="21"/>
        </w:rPr>
        <w:t>普麦和</w:t>
      </w:r>
      <w:proofErr w:type="gramEnd"/>
      <w:r>
        <w:rPr>
          <w:rFonts w:ascii="宋体" w:hAnsi="宋体" w:hint="eastAsia"/>
          <w:szCs w:val="21"/>
        </w:rPr>
        <w:t>燃料油。因此，如若不考虑板块区别，我们推荐优先选择铜、豆</w:t>
      </w:r>
      <w:proofErr w:type="gramStart"/>
      <w:r>
        <w:rPr>
          <w:rFonts w:ascii="宋体" w:hAnsi="宋体" w:hint="eastAsia"/>
          <w:szCs w:val="21"/>
        </w:rPr>
        <w:t>粕</w:t>
      </w:r>
      <w:proofErr w:type="gramEnd"/>
      <w:r>
        <w:rPr>
          <w:rFonts w:ascii="宋体" w:hAnsi="宋体" w:hint="eastAsia"/>
          <w:szCs w:val="21"/>
        </w:rPr>
        <w:t>、天然橡胶和</w:t>
      </w:r>
      <w:proofErr w:type="gramStart"/>
      <w:r>
        <w:rPr>
          <w:rFonts w:ascii="宋体" w:hAnsi="宋体" w:hint="eastAsia"/>
          <w:szCs w:val="21"/>
        </w:rPr>
        <w:t>锌作为</w:t>
      </w:r>
      <w:proofErr w:type="gramEnd"/>
      <w:r>
        <w:rPr>
          <w:rFonts w:ascii="宋体" w:hAnsi="宋体" w:hint="eastAsia"/>
          <w:szCs w:val="21"/>
        </w:rPr>
        <w:t>交易品种。</w:t>
      </w:r>
    </w:p>
    <w:p w:rsidR="004165EC" w:rsidRDefault="00C97C8E">
      <w:pPr>
        <w:spacing w:line="360" w:lineRule="auto"/>
        <w:ind w:firstLineChars="200" w:firstLine="420"/>
        <w:rPr>
          <w:rFonts w:ascii="宋体" w:hAnsi="宋体"/>
          <w:szCs w:val="21"/>
        </w:rPr>
      </w:pPr>
      <w:proofErr w:type="gramStart"/>
      <w:r>
        <w:rPr>
          <w:rFonts w:ascii="宋体" w:hAnsi="宋体" w:hint="eastAsia"/>
          <w:szCs w:val="21"/>
        </w:rPr>
        <w:t>分板块</w:t>
      </w:r>
      <w:proofErr w:type="gramEnd"/>
      <w:r>
        <w:rPr>
          <w:rFonts w:ascii="宋体" w:hAnsi="宋体" w:hint="eastAsia"/>
          <w:szCs w:val="21"/>
        </w:rPr>
        <w:t>来看，农产品类期货中排名比较靠前的是豆</w:t>
      </w:r>
      <w:proofErr w:type="gramStart"/>
      <w:r>
        <w:rPr>
          <w:rFonts w:ascii="宋体" w:hAnsi="宋体" w:hint="eastAsia"/>
          <w:szCs w:val="21"/>
        </w:rPr>
        <w:t>粕</w:t>
      </w:r>
      <w:proofErr w:type="gramEnd"/>
      <w:r>
        <w:rPr>
          <w:rFonts w:ascii="宋体" w:hAnsi="宋体" w:hint="eastAsia"/>
          <w:szCs w:val="21"/>
        </w:rPr>
        <w:t>、棉花和豆油；金属类期货中排在前面的是铜、锌和铝；化工类产品中排在前面的是天然橡胶、聚乙烯和精对苯二甲酸（PTA）；能源类期货中焦炭、沥青和焦煤排在前面。因此，在考虑分</w:t>
      </w:r>
      <w:proofErr w:type="gramStart"/>
      <w:r>
        <w:rPr>
          <w:rFonts w:ascii="宋体" w:hAnsi="宋体" w:hint="eastAsia"/>
          <w:szCs w:val="21"/>
        </w:rPr>
        <w:t>版块</w:t>
      </w:r>
      <w:proofErr w:type="gramEnd"/>
      <w:r>
        <w:rPr>
          <w:rFonts w:ascii="宋体" w:hAnsi="宋体" w:hint="eastAsia"/>
          <w:szCs w:val="21"/>
        </w:rPr>
        <w:t>投资组合时，建议优先考虑在豆</w:t>
      </w:r>
      <w:proofErr w:type="gramStart"/>
      <w:r>
        <w:rPr>
          <w:rFonts w:ascii="宋体" w:hAnsi="宋体" w:hint="eastAsia"/>
          <w:szCs w:val="21"/>
        </w:rPr>
        <w:t>粕</w:t>
      </w:r>
      <w:proofErr w:type="gramEnd"/>
      <w:r>
        <w:rPr>
          <w:rFonts w:ascii="宋体" w:hAnsi="宋体" w:hint="eastAsia"/>
          <w:szCs w:val="21"/>
        </w:rPr>
        <w:t>、棉花和豆油，铜、锌和铝，天然橡胶聚乙烯和精对苯二甲酸（PTA），焦炭、沥青</w:t>
      </w:r>
      <w:r>
        <w:rPr>
          <w:rFonts w:ascii="宋体" w:hAnsi="宋体" w:hint="eastAsia"/>
          <w:szCs w:val="21"/>
        </w:rPr>
        <w:lastRenderedPageBreak/>
        <w:t>和焦煤中进行投资组合品种选择。</w:t>
      </w:r>
    </w:p>
    <w:p w:rsidR="004165EC" w:rsidRDefault="00C97C8E">
      <w:pPr>
        <w:spacing w:line="360" w:lineRule="auto"/>
        <w:rPr>
          <w:rFonts w:ascii="宋体" w:hAnsi="宋体"/>
          <w:b/>
          <w:sz w:val="24"/>
          <w:szCs w:val="24"/>
        </w:rPr>
      </w:pPr>
      <w:r>
        <w:rPr>
          <w:rFonts w:ascii="宋体" w:hAnsi="宋体" w:hint="eastAsia"/>
          <w:b/>
          <w:sz w:val="24"/>
          <w:szCs w:val="24"/>
        </w:rPr>
        <w:t>2.3 构建投资组合</w:t>
      </w:r>
    </w:p>
    <w:p w:rsidR="004165EC" w:rsidRDefault="00C97C8E">
      <w:pPr>
        <w:spacing w:line="360" w:lineRule="auto"/>
        <w:rPr>
          <w:rFonts w:ascii="宋体" w:hAnsi="宋体"/>
          <w:b/>
        </w:rPr>
      </w:pPr>
      <w:r>
        <w:rPr>
          <w:rFonts w:ascii="宋体" w:hAnsi="宋体" w:hint="eastAsia"/>
          <w:b/>
        </w:rPr>
        <w:t xml:space="preserve">2.3.1 </w:t>
      </w:r>
      <w:r>
        <w:rPr>
          <w:rFonts w:ascii="宋体" w:hAnsi="宋体"/>
          <w:b/>
        </w:rPr>
        <w:t>资产组合</w:t>
      </w:r>
      <w:r>
        <w:rPr>
          <w:rFonts w:ascii="宋体" w:hAnsi="宋体" w:hint="eastAsia"/>
          <w:b/>
        </w:rPr>
        <w:t>策略</w:t>
      </w:r>
    </w:p>
    <w:p w:rsidR="004165EC" w:rsidRDefault="00C97C8E">
      <w:pPr>
        <w:spacing w:line="360" w:lineRule="auto"/>
        <w:ind w:firstLineChars="200" w:firstLine="420"/>
        <w:rPr>
          <w:rFonts w:ascii="宋体" w:hAnsi="宋体"/>
        </w:rPr>
      </w:pPr>
      <w:r>
        <w:rPr>
          <w:rFonts w:ascii="宋体" w:hAnsi="宋体" w:hint="eastAsia"/>
        </w:rPr>
        <w:t>如同公司的</w:t>
      </w:r>
      <w:r>
        <w:rPr>
          <w:rFonts w:ascii="宋体" w:hAnsi="宋体"/>
        </w:rPr>
        <w:t>目标杠杆比率一样，</w:t>
      </w:r>
      <w:r>
        <w:rPr>
          <w:rFonts w:ascii="宋体" w:hAnsi="宋体" w:hint="eastAsia"/>
        </w:rPr>
        <w:t>构建资产组合得到</w:t>
      </w:r>
      <w:r>
        <w:rPr>
          <w:rFonts w:ascii="宋体" w:hAnsi="宋体"/>
        </w:rPr>
        <w:t>结果只是目标资产组合</w:t>
      </w:r>
      <w:r>
        <w:rPr>
          <w:rFonts w:ascii="宋体" w:hAnsi="宋体" w:hint="eastAsia"/>
        </w:rPr>
        <w:t>。</w:t>
      </w:r>
      <w:r>
        <w:rPr>
          <w:rFonts w:ascii="宋体" w:hAnsi="宋体"/>
        </w:rPr>
        <w:t>目标</w:t>
      </w:r>
      <w:r>
        <w:rPr>
          <w:rFonts w:ascii="宋体" w:hAnsi="宋体" w:hint="eastAsia"/>
        </w:rPr>
        <w:t>组合</w:t>
      </w:r>
      <w:r>
        <w:rPr>
          <w:rFonts w:ascii="宋体" w:hAnsi="宋体"/>
        </w:rPr>
        <w:t>并不是说在</w:t>
      </w:r>
      <w:r>
        <w:rPr>
          <w:rFonts w:ascii="宋体" w:hAnsi="宋体" w:hint="eastAsia"/>
        </w:rPr>
        <w:t>动态的</w:t>
      </w:r>
      <w:r>
        <w:rPr>
          <w:rFonts w:ascii="宋体" w:hAnsi="宋体"/>
        </w:rPr>
        <w:t>交易过程中严格按照这一比例交易，而是</w:t>
      </w:r>
      <w:r>
        <w:rPr>
          <w:rFonts w:ascii="宋体" w:hAnsi="宋体" w:hint="eastAsia"/>
        </w:rPr>
        <w:t>在</w:t>
      </w:r>
      <w:r>
        <w:rPr>
          <w:rFonts w:ascii="宋体" w:hAnsi="宋体"/>
        </w:rPr>
        <w:t>满足动态策略的前提下，尽可能的向这一目标靠拢</w:t>
      </w:r>
      <w:r>
        <w:rPr>
          <w:rFonts w:ascii="宋体" w:hAnsi="宋体" w:hint="eastAsia"/>
        </w:rPr>
        <w:t>。按照</w:t>
      </w:r>
      <w:r>
        <w:rPr>
          <w:rFonts w:ascii="宋体" w:hAnsi="宋体"/>
        </w:rPr>
        <w:t>资产组合的</w:t>
      </w:r>
      <w:r>
        <w:rPr>
          <w:rFonts w:ascii="宋体" w:hAnsi="宋体" w:hint="eastAsia"/>
        </w:rPr>
        <w:t>资产配置</w:t>
      </w:r>
      <w:r>
        <w:rPr>
          <w:rFonts w:ascii="宋体" w:hAnsi="宋体"/>
        </w:rPr>
        <w:t>比例开始建仓</w:t>
      </w:r>
      <w:r>
        <w:rPr>
          <w:rFonts w:ascii="宋体" w:hAnsi="宋体" w:hint="eastAsia"/>
        </w:rPr>
        <w:t>在，以</w:t>
      </w:r>
      <w:r>
        <w:rPr>
          <w:rFonts w:ascii="宋体" w:hAnsi="宋体"/>
        </w:rPr>
        <w:t>后的</w:t>
      </w:r>
      <w:r>
        <w:rPr>
          <w:rFonts w:ascii="宋体" w:hAnsi="宋体" w:hint="eastAsia"/>
        </w:rPr>
        <w:t>动态</w:t>
      </w:r>
      <w:r>
        <w:rPr>
          <w:rFonts w:ascii="宋体" w:hAnsi="宋体"/>
        </w:rPr>
        <w:t>交易过程中可以改变。</w:t>
      </w:r>
      <w:r>
        <w:rPr>
          <w:rFonts w:ascii="宋体" w:hAnsi="宋体" w:hint="eastAsia"/>
        </w:rPr>
        <w:t>或者</w:t>
      </w:r>
      <w:r>
        <w:rPr>
          <w:rFonts w:ascii="宋体" w:hAnsi="宋体"/>
        </w:rPr>
        <w:t>，</w:t>
      </w:r>
      <w:r>
        <w:rPr>
          <w:rFonts w:ascii="宋体" w:hAnsi="宋体" w:hint="eastAsia"/>
        </w:rPr>
        <w:t>在交易了</w:t>
      </w:r>
      <w:r>
        <w:rPr>
          <w:rFonts w:ascii="宋体" w:hAnsi="宋体"/>
        </w:rPr>
        <w:t>一段较长的时间后</w:t>
      </w:r>
      <w:r>
        <w:rPr>
          <w:rFonts w:ascii="宋体" w:hAnsi="宋体" w:hint="eastAsia"/>
        </w:rPr>
        <w:t>（</w:t>
      </w:r>
      <w:r>
        <w:rPr>
          <w:rFonts w:ascii="宋体" w:hAnsi="宋体"/>
        </w:rPr>
        <w:t>比如</w:t>
      </w:r>
      <w:r>
        <w:rPr>
          <w:rFonts w:ascii="宋体" w:hAnsi="宋体" w:hint="eastAsia"/>
        </w:rPr>
        <w:t>：</w:t>
      </w:r>
      <w:r>
        <w:rPr>
          <w:rFonts w:ascii="宋体" w:hAnsi="宋体"/>
        </w:rPr>
        <w:t>一年）</w:t>
      </w:r>
      <w:r>
        <w:rPr>
          <w:rFonts w:ascii="宋体" w:hAnsi="宋体" w:hint="eastAsia"/>
        </w:rPr>
        <w:t>，</w:t>
      </w:r>
      <w:r>
        <w:rPr>
          <w:rFonts w:ascii="宋体" w:hAnsi="宋体"/>
        </w:rPr>
        <w:t>根据新的数据生成</w:t>
      </w:r>
      <w:r>
        <w:rPr>
          <w:rFonts w:ascii="宋体" w:hAnsi="宋体" w:hint="eastAsia"/>
        </w:rPr>
        <w:t>新的</w:t>
      </w:r>
      <w:r>
        <w:rPr>
          <w:rFonts w:ascii="宋体" w:hAnsi="宋体"/>
        </w:rPr>
        <w:t>组合策略</w:t>
      </w:r>
      <w:r>
        <w:rPr>
          <w:rFonts w:ascii="宋体" w:hAnsi="宋体" w:hint="eastAsia"/>
        </w:rPr>
        <w:t>也是</w:t>
      </w:r>
      <w:r>
        <w:rPr>
          <w:rFonts w:ascii="宋体" w:hAnsi="宋体"/>
        </w:rPr>
        <w:t>很有必要</w:t>
      </w:r>
      <w:r>
        <w:rPr>
          <w:rFonts w:ascii="宋体" w:hAnsi="宋体" w:hint="eastAsia"/>
        </w:rPr>
        <w:t>且合理</w:t>
      </w:r>
      <w:r>
        <w:rPr>
          <w:rFonts w:ascii="宋体" w:hAnsi="宋体"/>
        </w:rPr>
        <w:t>的。</w:t>
      </w:r>
    </w:p>
    <w:p w:rsidR="004165EC" w:rsidRDefault="00C97C8E">
      <w:pPr>
        <w:spacing w:line="360" w:lineRule="auto"/>
        <w:ind w:firstLineChars="200" w:firstLine="420"/>
        <w:rPr>
          <w:rFonts w:ascii="宋体" w:hAnsi="宋体"/>
        </w:rPr>
      </w:pPr>
      <w:r>
        <w:rPr>
          <w:rFonts w:ascii="宋体" w:hAnsi="宋体"/>
        </w:rPr>
        <w:t>依据</w:t>
      </w:r>
      <w:r>
        <w:rPr>
          <w:rFonts w:ascii="宋体" w:hAnsi="宋体" w:hint="eastAsia"/>
        </w:rPr>
        <w:t>上述因子分析</w:t>
      </w:r>
      <w:r>
        <w:rPr>
          <w:rFonts w:ascii="宋体" w:hAnsi="宋体"/>
        </w:rPr>
        <w:t>的结果</w:t>
      </w:r>
      <w:r>
        <w:rPr>
          <w:rFonts w:ascii="宋体" w:hAnsi="宋体" w:hint="eastAsia"/>
        </w:rPr>
        <w:t>，</w:t>
      </w:r>
      <w:r>
        <w:rPr>
          <w:rFonts w:ascii="宋体" w:hAnsi="宋体"/>
        </w:rPr>
        <w:t>下一步我们</w:t>
      </w:r>
      <w:r>
        <w:rPr>
          <w:rFonts w:ascii="宋体" w:hAnsi="宋体" w:hint="eastAsia"/>
        </w:rPr>
        <w:t>采用马克维茨</w:t>
      </w:r>
      <w:r>
        <w:rPr>
          <w:rFonts w:ascii="宋体" w:hAnsi="宋体"/>
        </w:rPr>
        <w:t>的</w:t>
      </w:r>
      <w:r>
        <w:rPr>
          <w:rFonts w:ascii="宋体" w:hAnsi="宋体" w:hint="eastAsia"/>
        </w:rPr>
        <w:t>投资组合理论构建最初的期货</w:t>
      </w:r>
      <w:r>
        <w:rPr>
          <w:rFonts w:ascii="宋体" w:hAnsi="宋体"/>
        </w:rPr>
        <w:t>产品</w:t>
      </w:r>
      <w:r>
        <w:rPr>
          <w:rFonts w:ascii="宋体" w:hAnsi="宋体" w:hint="eastAsia"/>
        </w:rPr>
        <w:t>投资组合</w:t>
      </w:r>
      <w:r>
        <w:rPr>
          <w:rFonts w:ascii="宋体" w:hAnsi="宋体"/>
        </w:rPr>
        <w:t>。</w:t>
      </w:r>
      <w:r>
        <w:rPr>
          <w:rFonts w:ascii="宋体" w:hAnsi="宋体" w:hint="eastAsia"/>
        </w:rPr>
        <w:t>依据商品期货市场上现存的</w:t>
      </w:r>
      <w:r>
        <w:rPr>
          <w:rFonts w:ascii="宋体" w:hAnsi="宋体"/>
        </w:rPr>
        <w:t>农产品、金属、能源</w:t>
      </w:r>
      <w:r>
        <w:rPr>
          <w:rFonts w:ascii="宋体" w:hAnsi="宋体" w:hint="eastAsia"/>
        </w:rPr>
        <w:t>和</w:t>
      </w:r>
      <w:r>
        <w:rPr>
          <w:rFonts w:ascii="宋体" w:hAnsi="宋体"/>
        </w:rPr>
        <w:t>化工</w:t>
      </w:r>
      <w:r>
        <w:rPr>
          <w:rFonts w:ascii="宋体" w:hAnsi="宋体" w:hint="eastAsia"/>
        </w:rPr>
        <w:t>四大板块</w:t>
      </w:r>
      <w:r>
        <w:rPr>
          <w:rFonts w:ascii="宋体" w:hAnsi="宋体"/>
        </w:rPr>
        <w:t>。</w:t>
      </w:r>
      <w:r>
        <w:rPr>
          <w:rFonts w:ascii="宋体" w:hAnsi="宋体" w:hint="eastAsia"/>
        </w:rPr>
        <w:t>在</w:t>
      </w:r>
      <w:r>
        <w:rPr>
          <w:rFonts w:ascii="宋体" w:hAnsi="宋体"/>
        </w:rPr>
        <w:t>因子模型</w:t>
      </w:r>
      <w:r>
        <w:rPr>
          <w:rFonts w:ascii="宋体" w:hAnsi="宋体" w:hint="eastAsia"/>
        </w:rPr>
        <w:t>已经</w:t>
      </w:r>
      <w:r>
        <w:rPr>
          <w:rFonts w:ascii="宋体" w:hAnsi="宋体"/>
        </w:rPr>
        <w:t>给出每种</w:t>
      </w:r>
      <w:r>
        <w:rPr>
          <w:rFonts w:ascii="宋体" w:hAnsi="宋体" w:hint="eastAsia"/>
        </w:rPr>
        <w:t>期货产品综合得分的</w:t>
      </w:r>
      <w:r>
        <w:rPr>
          <w:rFonts w:ascii="宋体" w:hAnsi="宋体"/>
        </w:rPr>
        <w:t>情况下</w:t>
      </w:r>
      <w:r>
        <w:rPr>
          <w:rFonts w:ascii="宋体" w:hAnsi="宋体" w:hint="eastAsia"/>
        </w:rPr>
        <w:t>，</w:t>
      </w:r>
      <w:r>
        <w:rPr>
          <w:rFonts w:ascii="宋体" w:hAnsi="宋体"/>
        </w:rPr>
        <w:t>在</w:t>
      </w:r>
      <w:r>
        <w:rPr>
          <w:rFonts w:ascii="宋体" w:hAnsi="宋体" w:hint="eastAsia"/>
        </w:rPr>
        <w:t>4个不同板块中，</w:t>
      </w:r>
      <w:r>
        <w:rPr>
          <w:rFonts w:ascii="宋体" w:hAnsi="宋体"/>
        </w:rPr>
        <w:t>我们选择</w:t>
      </w:r>
      <w:r>
        <w:rPr>
          <w:rFonts w:ascii="宋体" w:hAnsi="宋体" w:hint="eastAsia"/>
        </w:rPr>
        <w:t>每一板块</w:t>
      </w:r>
      <w:r>
        <w:rPr>
          <w:rFonts w:ascii="宋体" w:hAnsi="宋体"/>
        </w:rPr>
        <w:t>中</w:t>
      </w:r>
      <w:r>
        <w:rPr>
          <w:rFonts w:ascii="宋体" w:hAnsi="宋体" w:hint="eastAsia"/>
        </w:rPr>
        <w:t>得分最高的</w:t>
      </w:r>
      <w:r>
        <w:rPr>
          <w:rFonts w:ascii="宋体" w:hAnsi="宋体"/>
        </w:rPr>
        <w:t>期货产品</w:t>
      </w:r>
      <w:r>
        <w:rPr>
          <w:rFonts w:ascii="宋体" w:hAnsi="宋体" w:hint="eastAsia"/>
        </w:rPr>
        <w:t>作为投资组合备选品种</w:t>
      </w:r>
      <w:r>
        <w:rPr>
          <w:rFonts w:ascii="宋体" w:hAnsi="宋体"/>
        </w:rPr>
        <w:t>。</w:t>
      </w:r>
      <w:r>
        <w:rPr>
          <w:rFonts w:ascii="宋体" w:hAnsi="宋体" w:hint="eastAsia"/>
        </w:rPr>
        <w:t>根据上述结果，我们</w:t>
      </w:r>
      <w:r>
        <w:rPr>
          <w:rFonts w:ascii="宋体" w:hAnsi="宋体"/>
        </w:rPr>
        <w:t>选择</w:t>
      </w:r>
      <w:r>
        <w:rPr>
          <w:rFonts w:ascii="宋体" w:hAnsi="宋体" w:hint="eastAsia"/>
        </w:rPr>
        <w:t>铜</w:t>
      </w:r>
      <w:r>
        <w:rPr>
          <w:rFonts w:ascii="宋体" w:hAnsi="宋体"/>
        </w:rPr>
        <w:t>、燃料油</w:t>
      </w:r>
      <w:r>
        <w:rPr>
          <w:rFonts w:ascii="宋体" w:hAnsi="宋体" w:hint="eastAsia"/>
        </w:rPr>
        <w:t>、豆</w:t>
      </w:r>
      <w:proofErr w:type="gramStart"/>
      <w:r>
        <w:rPr>
          <w:rFonts w:ascii="宋体" w:hAnsi="宋体" w:hint="eastAsia"/>
        </w:rPr>
        <w:t>粕</w:t>
      </w:r>
      <w:proofErr w:type="gramEnd"/>
      <w:r>
        <w:rPr>
          <w:rFonts w:ascii="宋体" w:hAnsi="宋体" w:hint="eastAsia"/>
        </w:rPr>
        <w:t>、</w:t>
      </w:r>
      <w:r>
        <w:rPr>
          <w:rFonts w:ascii="宋体" w:hAnsi="宋体"/>
        </w:rPr>
        <w:t>天然橡胶。当然</w:t>
      </w:r>
      <w:r>
        <w:rPr>
          <w:rFonts w:ascii="宋体" w:hAnsi="宋体" w:hint="eastAsia"/>
        </w:rPr>
        <w:t>，</w:t>
      </w:r>
      <w:r>
        <w:rPr>
          <w:rFonts w:ascii="宋体" w:hAnsi="宋体"/>
        </w:rPr>
        <w:t>选择的个数并</w:t>
      </w:r>
      <w:r>
        <w:rPr>
          <w:rFonts w:ascii="宋体" w:hAnsi="宋体" w:hint="eastAsia"/>
        </w:rPr>
        <w:t>非局限为每一板块只选</w:t>
      </w:r>
      <w:r>
        <w:rPr>
          <w:rFonts w:ascii="宋体" w:hAnsi="宋体"/>
        </w:rPr>
        <w:t>一个。一种更好的办法是：在交易量较大的市场中（固然因子分析</w:t>
      </w:r>
      <w:r>
        <w:rPr>
          <w:rFonts w:ascii="宋体" w:hAnsi="宋体" w:hint="eastAsia"/>
        </w:rPr>
        <w:t>得分亦高</w:t>
      </w:r>
      <w:r>
        <w:rPr>
          <w:rFonts w:ascii="宋体" w:hAnsi="宋体"/>
        </w:rPr>
        <w:t>）可以多选择几个品种。而且</w:t>
      </w:r>
      <w:r>
        <w:rPr>
          <w:rFonts w:ascii="宋体" w:hAnsi="宋体" w:hint="eastAsia"/>
        </w:rPr>
        <w:t>，从经验上来看</w:t>
      </w:r>
      <w:r>
        <w:rPr>
          <w:rFonts w:ascii="宋体" w:hAnsi="宋体"/>
        </w:rPr>
        <w:t>，能源与化工的</w:t>
      </w:r>
      <w:r>
        <w:rPr>
          <w:rFonts w:ascii="宋体" w:hAnsi="宋体" w:hint="eastAsia"/>
        </w:rPr>
        <w:t>产品</w:t>
      </w:r>
      <w:r>
        <w:rPr>
          <w:rFonts w:ascii="宋体" w:hAnsi="宋体"/>
        </w:rPr>
        <w:t>联系</w:t>
      </w:r>
      <w:r>
        <w:rPr>
          <w:rFonts w:ascii="宋体" w:hAnsi="宋体" w:hint="eastAsia"/>
        </w:rPr>
        <w:t>比较</w:t>
      </w:r>
      <w:r>
        <w:rPr>
          <w:rFonts w:ascii="宋体" w:hAnsi="宋体"/>
        </w:rPr>
        <w:t>紧密，</w:t>
      </w:r>
      <w:r>
        <w:rPr>
          <w:rFonts w:ascii="宋体" w:hAnsi="宋体" w:hint="eastAsia"/>
        </w:rPr>
        <w:t>其价格</w:t>
      </w:r>
      <w:r>
        <w:rPr>
          <w:rFonts w:ascii="宋体" w:hAnsi="宋体"/>
        </w:rPr>
        <w:t>相关性应该较强。比如</w:t>
      </w:r>
      <w:r>
        <w:rPr>
          <w:rFonts w:ascii="宋体" w:hAnsi="宋体" w:hint="eastAsia"/>
        </w:rPr>
        <w:t>：</w:t>
      </w:r>
      <w:r>
        <w:rPr>
          <w:rFonts w:ascii="宋体" w:hAnsi="宋体"/>
        </w:rPr>
        <w:t>石油</w:t>
      </w:r>
      <w:r>
        <w:rPr>
          <w:rFonts w:ascii="宋体" w:hAnsi="宋体" w:hint="eastAsia"/>
        </w:rPr>
        <w:t>这种重要的</w:t>
      </w:r>
      <w:r>
        <w:rPr>
          <w:rFonts w:ascii="宋体" w:hAnsi="宋体"/>
        </w:rPr>
        <w:t>能源</w:t>
      </w:r>
      <w:r>
        <w:rPr>
          <w:rFonts w:ascii="宋体" w:hAnsi="宋体" w:hint="eastAsia"/>
        </w:rPr>
        <w:t>产品能够</w:t>
      </w:r>
      <w:r>
        <w:rPr>
          <w:rFonts w:ascii="宋体" w:hAnsi="宋体"/>
        </w:rPr>
        <w:t>同时用来</w:t>
      </w:r>
      <w:r>
        <w:rPr>
          <w:rFonts w:ascii="宋体" w:hAnsi="宋体" w:hint="eastAsia"/>
        </w:rPr>
        <w:t>生产多种</w:t>
      </w:r>
      <w:r>
        <w:rPr>
          <w:rFonts w:ascii="宋体" w:hAnsi="宋体"/>
        </w:rPr>
        <w:t>化工产品。</w:t>
      </w:r>
      <w:r>
        <w:rPr>
          <w:rFonts w:ascii="宋体" w:hAnsi="宋体" w:hint="eastAsia"/>
        </w:rPr>
        <w:t>所以</w:t>
      </w:r>
      <w:r>
        <w:rPr>
          <w:rFonts w:ascii="宋体" w:hAnsi="宋体"/>
        </w:rPr>
        <w:t>，能源化工甚至可以按照一个品种来</w:t>
      </w:r>
      <w:r>
        <w:rPr>
          <w:rFonts w:ascii="宋体" w:hAnsi="宋体" w:hint="eastAsia"/>
        </w:rPr>
        <w:t>选取</w:t>
      </w:r>
      <w:r>
        <w:rPr>
          <w:rFonts w:ascii="宋体" w:hAnsi="宋体"/>
        </w:rPr>
        <w:t>期货</w:t>
      </w:r>
      <w:r>
        <w:rPr>
          <w:rFonts w:ascii="宋体" w:hAnsi="宋体" w:hint="eastAsia"/>
        </w:rPr>
        <w:t>配置</w:t>
      </w:r>
      <w:r>
        <w:rPr>
          <w:rFonts w:ascii="宋体" w:hAnsi="宋体"/>
        </w:rPr>
        <w:t>。</w:t>
      </w:r>
    </w:p>
    <w:p w:rsidR="004165EC" w:rsidRDefault="00C97C8E">
      <w:pPr>
        <w:spacing w:line="360" w:lineRule="auto"/>
        <w:ind w:firstLineChars="200" w:firstLine="420"/>
        <w:rPr>
          <w:rFonts w:ascii="宋体" w:hAnsi="宋体"/>
        </w:rPr>
      </w:pPr>
      <w:r>
        <w:rPr>
          <w:rFonts w:ascii="宋体" w:hAnsi="宋体" w:hint="eastAsia"/>
        </w:rPr>
        <w:t>对于</w:t>
      </w:r>
      <w:r>
        <w:rPr>
          <w:rFonts w:ascii="宋体" w:hAnsi="宋体"/>
        </w:rPr>
        <w:t>每一个</w:t>
      </w:r>
      <w:r>
        <w:rPr>
          <w:rFonts w:ascii="宋体" w:hAnsi="宋体" w:hint="eastAsia"/>
        </w:rPr>
        <w:t>期货</w:t>
      </w:r>
      <w:r>
        <w:rPr>
          <w:rFonts w:ascii="宋体" w:hAnsi="宋体"/>
        </w:rPr>
        <w:t>品种，</w:t>
      </w:r>
      <w:r>
        <w:rPr>
          <w:rFonts w:ascii="宋体" w:hAnsi="宋体" w:hint="eastAsia"/>
        </w:rPr>
        <w:t>我们选取该品种当日的主力合约价格作为该品种的交易价格，由此价格计算每天的</w:t>
      </w:r>
      <w:r>
        <w:rPr>
          <w:rFonts w:ascii="宋体" w:hAnsi="宋体"/>
        </w:rPr>
        <w:t>收益率。</w:t>
      </w:r>
      <w:r>
        <w:rPr>
          <w:rFonts w:ascii="宋体" w:hAnsi="宋体" w:hint="eastAsia"/>
        </w:rPr>
        <w:t>其中</w:t>
      </w:r>
      <w:r>
        <w:rPr>
          <w:rFonts w:ascii="宋体" w:hAnsi="宋体"/>
        </w:rPr>
        <w:t>主力合约是指</w:t>
      </w:r>
      <w:r>
        <w:rPr>
          <w:rFonts w:ascii="宋体" w:hAnsi="宋体" w:hint="eastAsia"/>
        </w:rPr>
        <w:t>该期货品种</w:t>
      </w:r>
      <w:r>
        <w:rPr>
          <w:rFonts w:ascii="宋体" w:hAnsi="宋体"/>
        </w:rPr>
        <w:t>每一天的交易中成交量最大的</w:t>
      </w:r>
      <w:r>
        <w:rPr>
          <w:rFonts w:ascii="宋体" w:hAnsi="宋体" w:hint="eastAsia"/>
        </w:rPr>
        <w:t>合约。每天收益率使用相邻两个</w:t>
      </w:r>
      <w:r>
        <w:rPr>
          <w:rFonts w:ascii="宋体" w:hAnsi="宋体"/>
        </w:rPr>
        <w:t>主力合约价格比值</w:t>
      </w:r>
      <w:r>
        <w:rPr>
          <w:rFonts w:ascii="宋体" w:hAnsi="宋体" w:hint="eastAsia"/>
        </w:rPr>
        <w:t>的</w:t>
      </w:r>
      <w:r>
        <w:rPr>
          <w:rFonts w:ascii="宋体" w:hAnsi="宋体"/>
        </w:rPr>
        <w:t>对数。</w:t>
      </w:r>
    </w:p>
    <w:p w:rsidR="004165EC" w:rsidRDefault="00C97C8E">
      <w:pPr>
        <w:spacing w:line="360" w:lineRule="auto"/>
        <w:ind w:firstLineChars="200" w:firstLine="420"/>
        <w:rPr>
          <w:rFonts w:ascii="宋体" w:hAnsi="宋体"/>
        </w:rPr>
      </w:pPr>
      <w:r>
        <w:rPr>
          <w:rFonts w:ascii="宋体" w:hAnsi="宋体" w:hint="eastAsia"/>
        </w:rPr>
        <w:t>依据我们选出的交易价格数据，计算出铜、焦炭、豆</w:t>
      </w:r>
      <w:proofErr w:type="gramStart"/>
      <w:r>
        <w:rPr>
          <w:rFonts w:ascii="宋体" w:hAnsi="宋体" w:hint="eastAsia"/>
        </w:rPr>
        <w:t>粕</w:t>
      </w:r>
      <w:proofErr w:type="gramEnd"/>
      <w:r>
        <w:rPr>
          <w:rFonts w:ascii="宋体" w:hAnsi="宋体" w:hint="eastAsia"/>
        </w:rPr>
        <w:t>和天然橡胶的平均</w:t>
      </w:r>
      <w:r>
        <w:rPr>
          <w:rFonts w:ascii="宋体" w:hAnsi="宋体"/>
        </w:rPr>
        <w:t>收益率（%）</w:t>
      </w:r>
      <w:r>
        <w:rPr>
          <w:rFonts w:ascii="宋体" w:hAnsi="宋体" w:hint="eastAsia"/>
        </w:rPr>
        <w:t>：</w:t>
      </w:r>
      <w:r>
        <w:rPr>
          <w:rFonts w:ascii="宋体" w:hAnsi="宋体"/>
        </w:rPr>
        <w:t>-0.046420605</w:t>
      </w:r>
      <w:r>
        <w:rPr>
          <w:rFonts w:ascii="宋体" w:hAnsi="宋体" w:hint="eastAsia"/>
        </w:rPr>
        <w:t>、</w:t>
      </w:r>
      <w:r>
        <w:rPr>
          <w:rFonts w:ascii="宋体" w:hAnsi="宋体"/>
        </w:rPr>
        <w:t>-0.09795625</w:t>
      </w:r>
      <w:r>
        <w:rPr>
          <w:rFonts w:ascii="宋体" w:hAnsi="宋体" w:hint="eastAsia"/>
        </w:rPr>
        <w:t>、</w:t>
      </w:r>
      <w:r>
        <w:rPr>
          <w:rFonts w:ascii="宋体" w:hAnsi="宋体"/>
        </w:rPr>
        <w:t>0.015307879</w:t>
      </w:r>
      <w:r>
        <w:rPr>
          <w:rFonts w:ascii="宋体" w:hAnsi="宋体" w:hint="eastAsia"/>
        </w:rPr>
        <w:t>和</w:t>
      </w:r>
      <w:r>
        <w:rPr>
          <w:rFonts w:ascii="宋体" w:hAnsi="宋体"/>
        </w:rPr>
        <w:t>-0.157531152</w:t>
      </w:r>
      <w:r>
        <w:rPr>
          <w:rFonts w:ascii="宋体" w:hAnsi="宋体" w:hint="eastAsia"/>
        </w:rPr>
        <w:t>。相应的</w:t>
      </w:r>
      <w:r>
        <w:rPr>
          <w:rFonts w:ascii="宋体" w:hAnsi="宋体"/>
        </w:rPr>
        <w:t>协方差矩阵</w:t>
      </w:r>
      <w:r>
        <w:rPr>
          <w:rFonts w:ascii="宋体" w:hAnsi="宋体" w:hint="eastAsia"/>
        </w:rPr>
        <w:t>（受收益率</w:t>
      </w:r>
      <w:r>
        <w:rPr>
          <w:rFonts w:ascii="宋体" w:hAnsi="宋体"/>
        </w:rPr>
        <w:t>影响，真实值放大</w:t>
      </w:r>
      <w:r>
        <w:rPr>
          <w:rFonts w:ascii="宋体" w:hAnsi="宋体" w:hint="eastAsia"/>
        </w:rPr>
        <w:t>为一万倍</w:t>
      </w:r>
      <w:r>
        <w:rPr>
          <w:rFonts w:ascii="宋体" w:hAnsi="宋体"/>
        </w:rPr>
        <w:t>）：</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8"/>
        <w:gridCol w:w="1803"/>
        <w:gridCol w:w="1803"/>
        <w:gridCol w:w="1804"/>
        <w:gridCol w:w="1804"/>
      </w:tblGrid>
      <w:tr w:rsidR="004165EC">
        <w:trPr>
          <w:trHeight w:val="285"/>
        </w:trPr>
        <w:tc>
          <w:tcPr>
            <w:tcW w:w="1308" w:type="dxa"/>
          </w:tcPr>
          <w:p w:rsidR="004165EC" w:rsidRDefault="004165EC">
            <w:pPr>
              <w:spacing w:line="360" w:lineRule="auto"/>
              <w:rPr>
                <w:rFonts w:ascii="宋体" w:hAnsi="宋体"/>
              </w:rPr>
            </w:pPr>
          </w:p>
        </w:tc>
        <w:tc>
          <w:tcPr>
            <w:tcW w:w="1803" w:type="dxa"/>
          </w:tcPr>
          <w:p w:rsidR="004165EC" w:rsidRDefault="00C97C8E">
            <w:pPr>
              <w:spacing w:line="360" w:lineRule="auto"/>
              <w:rPr>
                <w:rFonts w:ascii="宋体" w:hAnsi="宋体"/>
              </w:rPr>
            </w:pPr>
            <w:r>
              <w:rPr>
                <w:rFonts w:ascii="宋体" w:hAnsi="宋体" w:hint="eastAsia"/>
              </w:rPr>
              <w:t>铜</w:t>
            </w:r>
          </w:p>
        </w:tc>
        <w:tc>
          <w:tcPr>
            <w:tcW w:w="1803" w:type="dxa"/>
          </w:tcPr>
          <w:p w:rsidR="004165EC" w:rsidRDefault="00C97C8E">
            <w:pPr>
              <w:spacing w:line="360" w:lineRule="auto"/>
              <w:rPr>
                <w:rFonts w:ascii="宋体" w:hAnsi="宋体"/>
              </w:rPr>
            </w:pPr>
            <w:r>
              <w:rPr>
                <w:rFonts w:ascii="宋体" w:hAnsi="宋体" w:hint="eastAsia"/>
              </w:rPr>
              <w:t>焦炭</w:t>
            </w:r>
          </w:p>
        </w:tc>
        <w:tc>
          <w:tcPr>
            <w:tcW w:w="1804" w:type="dxa"/>
          </w:tcPr>
          <w:p w:rsidR="004165EC" w:rsidRDefault="00C97C8E">
            <w:pPr>
              <w:spacing w:line="360" w:lineRule="auto"/>
              <w:rPr>
                <w:rFonts w:ascii="宋体" w:hAnsi="宋体"/>
              </w:rPr>
            </w:pPr>
            <w:r>
              <w:rPr>
                <w:rFonts w:ascii="宋体" w:hAnsi="宋体" w:hint="eastAsia"/>
              </w:rPr>
              <w:t>豆</w:t>
            </w:r>
            <w:proofErr w:type="gramStart"/>
            <w:r>
              <w:rPr>
                <w:rFonts w:ascii="宋体" w:hAnsi="宋体" w:hint="eastAsia"/>
              </w:rPr>
              <w:t>粕</w:t>
            </w:r>
            <w:proofErr w:type="gramEnd"/>
          </w:p>
        </w:tc>
        <w:tc>
          <w:tcPr>
            <w:tcW w:w="1804" w:type="dxa"/>
          </w:tcPr>
          <w:p w:rsidR="004165EC" w:rsidRDefault="00C97C8E">
            <w:pPr>
              <w:spacing w:line="360" w:lineRule="auto"/>
              <w:rPr>
                <w:rFonts w:ascii="宋体" w:hAnsi="宋体"/>
              </w:rPr>
            </w:pPr>
            <w:r>
              <w:rPr>
                <w:rFonts w:ascii="宋体" w:hAnsi="宋体" w:hint="eastAsia"/>
              </w:rPr>
              <w:t>天然橡胶</w:t>
            </w:r>
          </w:p>
        </w:tc>
      </w:tr>
      <w:tr w:rsidR="004165EC">
        <w:trPr>
          <w:trHeight w:val="285"/>
        </w:trPr>
        <w:tc>
          <w:tcPr>
            <w:tcW w:w="1308" w:type="dxa"/>
          </w:tcPr>
          <w:p w:rsidR="004165EC" w:rsidRDefault="00C97C8E">
            <w:pPr>
              <w:spacing w:line="360" w:lineRule="auto"/>
              <w:rPr>
                <w:rFonts w:ascii="宋体" w:hAnsi="宋体"/>
              </w:rPr>
            </w:pPr>
            <w:r>
              <w:rPr>
                <w:rFonts w:ascii="宋体" w:hAnsi="宋体" w:hint="eastAsia"/>
              </w:rPr>
              <w:t>铜</w:t>
            </w:r>
          </w:p>
        </w:tc>
        <w:tc>
          <w:tcPr>
            <w:tcW w:w="1803" w:type="dxa"/>
          </w:tcPr>
          <w:p w:rsidR="004165EC" w:rsidRDefault="00C97C8E">
            <w:pPr>
              <w:spacing w:line="360" w:lineRule="auto"/>
              <w:rPr>
                <w:rFonts w:ascii="宋体" w:hAnsi="宋体"/>
              </w:rPr>
            </w:pPr>
            <w:r>
              <w:rPr>
                <w:rFonts w:ascii="宋体" w:hAnsi="宋体"/>
              </w:rPr>
              <w:t>1.226525754</w:t>
            </w:r>
          </w:p>
        </w:tc>
        <w:tc>
          <w:tcPr>
            <w:tcW w:w="1803" w:type="dxa"/>
          </w:tcPr>
          <w:p w:rsidR="004165EC" w:rsidRDefault="00C97C8E">
            <w:pPr>
              <w:spacing w:line="360" w:lineRule="auto"/>
              <w:rPr>
                <w:rFonts w:ascii="宋体" w:hAnsi="宋体"/>
              </w:rPr>
            </w:pPr>
            <w:r>
              <w:rPr>
                <w:rFonts w:ascii="宋体" w:hAnsi="宋体"/>
              </w:rPr>
              <w:t>0.694080957</w:t>
            </w:r>
          </w:p>
        </w:tc>
        <w:tc>
          <w:tcPr>
            <w:tcW w:w="1804" w:type="dxa"/>
          </w:tcPr>
          <w:p w:rsidR="004165EC" w:rsidRDefault="00C97C8E">
            <w:pPr>
              <w:spacing w:line="360" w:lineRule="auto"/>
              <w:rPr>
                <w:rFonts w:ascii="宋体" w:hAnsi="宋体"/>
              </w:rPr>
            </w:pPr>
            <w:r>
              <w:rPr>
                <w:rFonts w:ascii="宋体" w:hAnsi="宋体"/>
              </w:rPr>
              <w:t>0.364526829</w:t>
            </w:r>
          </w:p>
        </w:tc>
        <w:tc>
          <w:tcPr>
            <w:tcW w:w="1804" w:type="dxa"/>
          </w:tcPr>
          <w:p w:rsidR="004165EC" w:rsidRDefault="00C97C8E">
            <w:pPr>
              <w:spacing w:line="360" w:lineRule="auto"/>
              <w:rPr>
                <w:rFonts w:ascii="宋体" w:hAnsi="宋体"/>
              </w:rPr>
            </w:pPr>
            <w:r>
              <w:rPr>
                <w:rFonts w:ascii="宋体" w:hAnsi="宋体"/>
              </w:rPr>
              <w:t>1.281596882</w:t>
            </w:r>
          </w:p>
        </w:tc>
      </w:tr>
      <w:tr w:rsidR="004165EC">
        <w:trPr>
          <w:trHeight w:val="285"/>
        </w:trPr>
        <w:tc>
          <w:tcPr>
            <w:tcW w:w="1308" w:type="dxa"/>
          </w:tcPr>
          <w:p w:rsidR="004165EC" w:rsidRDefault="00C97C8E">
            <w:pPr>
              <w:spacing w:line="360" w:lineRule="auto"/>
              <w:rPr>
                <w:rFonts w:ascii="宋体" w:hAnsi="宋体"/>
              </w:rPr>
            </w:pPr>
            <w:r>
              <w:rPr>
                <w:rFonts w:ascii="宋体" w:hAnsi="宋体" w:hint="eastAsia"/>
              </w:rPr>
              <w:t>焦炭</w:t>
            </w:r>
          </w:p>
        </w:tc>
        <w:tc>
          <w:tcPr>
            <w:tcW w:w="1803" w:type="dxa"/>
          </w:tcPr>
          <w:p w:rsidR="004165EC" w:rsidRDefault="00C97C8E">
            <w:pPr>
              <w:spacing w:line="360" w:lineRule="auto"/>
              <w:rPr>
                <w:rFonts w:ascii="宋体" w:hAnsi="宋体"/>
              </w:rPr>
            </w:pPr>
            <w:r>
              <w:rPr>
                <w:rFonts w:ascii="宋体" w:hAnsi="宋体"/>
              </w:rPr>
              <w:t>0.694080957</w:t>
            </w:r>
          </w:p>
        </w:tc>
        <w:tc>
          <w:tcPr>
            <w:tcW w:w="1803" w:type="dxa"/>
          </w:tcPr>
          <w:p w:rsidR="004165EC" w:rsidRDefault="00C97C8E">
            <w:pPr>
              <w:spacing w:line="360" w:lineRule="auto"/>
              <w:rPr>
                <w:rFonts w:ascii="宋体" w:hAnsi="宋体"/>
              </w:rPr>
            </w:pPr>
            <w:r>
              <w:rPr>
                <w:rFonts w:ascii="宋体" w:hAnsi="宋体"/>
              </w:rPr>
              <w:t>2.264669418</w:t>
            </w:r>
          </w:p>
        </w:tc>
        <w:tc>
          <w:tcPr>
            <w:tcW w:w="1804" w:type="dxa"/>
          </w:tcPr>
          <w:p w:rsidR="004165EC" w:rsidRDefault="00C97C8E">
            <w:pPr>
              <w:spacing w:line="360" w:lineRule="auto"/>
              <w:rPr>
                <w:rFonts w:ascii="宋体" w:hAnsi="宋体"/>
              </w:rPr>
            </w:pPr>
            <w:r>
              <w:rPr>
                <w:rFonts w:ascii="宋体" w:hAnsi="宋体"/>
              </w:rPr>
              <w:t>0.447730295</w:t>
            </w:r>
          </w:p>
        </w:tc>
        <w:tc>
          <w:tcPr>
            <w:tcW w:w="1804" w:type="dxa"/>
          </w:tcPr>
          <w:p w:rsidR="004165EC" w:rsidRDefault="00C97C8E">
            <w:pPr>
              <w:spacing w:line="360" w:lineRule="auto"/>
              <w:rPr>
                <w:rFonts w:ascii="宋体" w:hAnsi="宋体"/>
              </w:rPr>
            </w:pPr>
            <w:r>
              <w:rPr>
                <w:rFonts w:ascii="宋体" w:hAnsi="宋体"/>
              </w:rPr>
              <w:t>1.437533761</w:t>
            </w:r>
          </w:p>
        </w:tc>
      </w:tr>
      <w:tr w:rsidR="004165EC">
        <w:trPr>
          <w:trHeight w:val="285"/>
        </w:trPr>
        <w:tc>
          <w:tcPr>
            <w:tcW w:w="1308" w:type="dxa"/>
          </w:tcPr>
          <w:p w:rsidR="004165EC" w:rsidRDefault="00C97C8E">
            <w:pPr>
              <w:spacing w:line="360" w:lineRule="auto"/>
              <w:rPr>
                <w:rFonts w:ascii="宋体" w:hAnsi="宋体"/>
              </w:rPr>
            </w:pPr>
            <w:r>
              <w:rPr>
                <w:rFonts w:ascii="宋体" w:hAnsi="宋体" w:hint="eastAsia"/>
              </w:rPr>
              <w:t>豆</w:t>
            </w:r>
            <w:proofErr w:type="gramStart"/>
            <w:r>
              <w:rPr>
                <w:rFonts w:ascii="宋体" w:hAnsi="宋体" w:hint="eastAsia"/>
              </w:rPr>
              <w:t>粕</w:t>
            </w:r>
            <w:proofErr w:type="gramEnd"/>
          </w:p>
        </w:tc>
        <w:tc>
          <w:tcPr>
            <w:tcW w:w="1803" w:type="dxa"/>
          </w:tcPr>
          <w:p w:rsidR="004165EC" w:rsidRDefault="00C97C8E">
            <w:pPr>
              <w:spacing w:line="360" w:lineRule="auto"/>
              <w:rPr>
                <w:rFonts w:ascii="宋体" w:hAnsi="宋体"/>
              </w:rPr>
            </w:pPr>
            <w:r>
              <w:rPr>
                <w:rFonts w:ascii="宋体" w:hAnsi="宋体"/>
              </w:rPr>
              <w:t>0.364526829</w:t>
            </w:r>
          </w:p>
        </w:tc>
        <w:tc>
          <w:tcPr>
            <w:tcW w:w="1803" w:type="dxa"/>
          </w:tcPr>
          <w:p w:rsidR="004165EC" w:rsidRDefault="00C97C8E">
            <w:pPr>
              <w:spacing w:line="360" w:lineRule="auto"/>
              <w:rPr>
                <w:rFonts w:ascii="宋体" w:hAnsi="宋体"/>
              </w:rPr>
            </w:pPr>
            <w:r>
              <w:rPr>
                <w:rFonts w:ascii="宋体" w:hAnsi="宋体"/>
              </w:rPr>
              <w:t>0.447730295</w:t>
            </w:r>
          </w:p>
        </w:tc>
        <w:tc>
          <w:tcPr>
            <w:tcW w:w="1804" w:type="dxa"/>
          </w:tcPr>
          <w:p w:rsidR="004165EC" w:rsidRDefault="00C97C8E">
            <w:pPr>
              <w:spacing w:line="360" w:lineRule="auto"/>
              <w:rPr>
                <w:rFonts w:ascii="宋体" w:hAnsi="宋体"/>
              </w:rPr>
            </w:pPr>
            <w:r>
              <w:rPr>
                <w:rFonts w:ascii="宋体" w:hAnsi="宋体"/>
              </w:rPr>
              <w:t>3.603521497</w:t>
            </w:r>
          </w:p>
        </w:tc>
        <w:tc>
          <w:tcPr>
            <w:tcW w:w="1804" w:type="dxa"/>
          </w:tcPr>
          <w:p w:rsidR="004165EC" w:rsidRDefault="00C97C8E">
            <w:pPr>
              <w:spacing w:line="360" w:lineRule="auto"/>
              <w:rPr>
                <w:rFonts w:ascii="宋体" w:hAnsi="宋体"/>
              </w:rPr>
            </w:pPr>
            <w:r>
              <w:rPr>
                <w:rFonts w:ascii="宋体" w:hAnsi="宋体"/>
              </w:rPr>
              <w:t>0.734093364</w:t>
            </w:r>
          </w:p>
        </w:tc>
      </w:tr>
      <w:tr w:rsidR="004165EC">
        <w:trPr>
          <w:trHeight w:val="285"/>
        </w:trPr>
        <w:tc>
          <w:tcPr>
            <w:tcW w:w="1308" w:type="dxa"/>
          </w:tcPr>
          <w:p w:rsidR="004165EC" w:rsidRDefault="00C97C8E">
            <w:pPr>
              <w:spacing w:line="360" w:lineRule="auto"/>
              <w:rPr>
                <w:rFonts w:ascii="宋体" w:hAnsi="宋体"/>
              </w:rPr>
            </w:pPr>
            <w:r>
              <w:rPr>
                <w:rFonts w:ascii="宋体" w:hAnsi="宋体" w:hint="eastAsia"/>
              </w:rPr>
              <w:t>天然橡胶</w:t>
            </w:r>
          </w:p>
        </w:tc>
        <w:tc>
          <w:tcPr>
            <w:tcW w:w="1803" w:type="dxa"/>
          </w:tcPr>
          <w:p w:rsidR="004165EC" w:rsidRDefault="00C97C8E">
            <w:pPr>
              <w:spacing w:line="360" w:lineRule="auto"/>
              <w:rPr>
                <w:rFonts w:ascii="宋体" w:hAnsi="宋体"/>
              </w:rPr>
            </w:pPr>
            <w:r>
              <w:rPr>
                <w:rFonts w:ascii="宋体" w:hAnsi="宋体"/>
              </w:rPr>
              <w:t>1.281596882</w:t>
            </w:r>
          </w:p>
        </w:tc>
        <w:tc>
          <w:tcPr>
            <w:tcW w:w="1803" w:type="dxa"/>
          </w:tcPr>
          <w:p w:rsidR="004165EC" w:rsidRDefault="00C97C8E">
            <w:pPr>
              <w:spacing w:line="360" w:lineRule="auto"/>
              <w:rPr>
                <w:rFonts w:ascii="宋体" w:hAnsi="宋体"/>
              </w:rPr>
            </w:pPr>
            <w:r>
              <w:rPr>
                <w:rFonts w:ascii="宋体" w:hAnsi="宋体"/>
              </w:rPr>
              <w:t>1.437533761</w:t>
            </w:r>
          </w:p>
        </w:tc>
        <w:tc>
          <w:tcPr>
            <w:tcW w:w="1804" w:type="dxa"/>
          </w:tcPr>
          <w:p w:rsidR="004165EC" w:rsidRDefault="00C97C8E">
            <w:pPr>
              <w:spacing w:line="360" w:lineRule="auto"/>
              <w:rPr>
                <w:rFonts w:ascii="宋体" w:hAnsi="宋体"/>
              </w:rPr>
            </w:pPr>
            <w:r>
              <w:rPr>
                <w:rFonts w:ascii="宋体" w:hAnsi="宋体"/>
              </w:rPr>
              <w:t>0.734093364</w:t>
            </w:r>
          </w:p>
        </w:tc>
        <w:tc>
          <w:tcPr>
            <w:tcW w:w="1804" w:type="dxa"/>
          </w:tcPr>
          <w:p w:rsidR="004165EC" w:rsidRDefault="00C97C8E">
            <w:pPr>
              <w:spacing w:line="360" w:lineRule="auto"/>
              <w:rPr>
                <w:rFonts w:ascii="宋体" w:hAnsi="宋体"/>
              </w:rPr>
            </w:pPr>
            <w:r>
              <w:rPr>
                <w:rFonts w:ascii="宋体" w:hAnsi="宋体"/>
              </w:rPr>
              <w:t>2.947718993</w:t>
            </w:r>
          </w:p>
        </w:tc>
      </w:tr>
    </w:tbl>
    <w:p w:rsidR="004165EC" w:rsidRDefault="00C97C8E">
      <w:pPr>
        <w:spacing w:line="360" w:lineRule="auto"/>
        <w:ind w:firstLineChars="200" w:firstLine="420"/>
        <w:rPr>
          <w:rFonts w:ascii="宋体" w:hAnsi="宋体"/>
        </w:rPr>
      </w:pPr>
      <w:proofErr w:type="gramStart"/>
      <w:r>
        <w:rPr>
          <w:rFonts w:ascii="宋体" w:hAnsi="宋体" w:hint="eastAsia"/>
        </w:rPr>
        <w:t>简单</w:t>
      </w:r>
      <w:r>
        <w:rPr>
          <w:rFonts w:ascii="宋体" w:hAnsi="宋体"/>
        </w:rPr>
        <w:t>从</w:t>
      </w:r>
      <w:proofErr w:type="gramEnd"/>
      <w:r>
        <w:rPr>
          <w:rFonts w:ascii="宋体" w:hAnsi="宋体"/>
        </w:rPr>
        <w:t>协方差矩阵来看，对角线元素</w:t>
      </w:r>
      <w:r>
        <w:rPr>
          <w:rFonts w:ascii="宋体" w:hAnsi="宋体" w:hint="eastAsia"/>
        </w:rPr>
        <w:t>为</w:t>
      </w:r>
      <w:r>
        <w:rPr>
          <w:rFonts w:ascii="宋体" w:hAnsi="宋体"/>
        </w:rPr>
        <w:t>方差，而两种商品的协方差比方差小。说明</w:t>
      </w:r>
      <w:r>
        <w:rPr>
          <w:rFonts w:ascii="宋体" w:hAnsi="宋体" w:hint="eastAsia"/>
        </w:rPr>
        <w:t>可以</w:t>
      </w:r>
      <w:r>
        <w:rPr>
          <w:rFonts w:ascii="宋体" w:hAnsi="宋体"/>
        </w:rPr>
        <w:t>通过分散化组合降低风险。</w:t>
      </w:r>
    </w:p>
    <w:p w:rsidR="004165EC" w:rsidRDefault="00C97C8E">
      <w:pPr>
        <w:spacing w:line="360" w:lineRule="auto"/>
        <w:ind w:firstLineChars="200" w:firstLine="420"/>
        <w:rPr>
          <w:rFonts w:ascii="宋体" w:hAnsi="宋体"/>
        </w:rPr>
      </w:pPr>
      <w:r>
        <w:rPr>
          <w:rFonts w:ascii="宋体" w:hAnsi="宋体" w:hint="eastAsia"/>
        </w:rPr>
        <w:lastRenderedPageBreak/>
        <w:t>我们</w:t>
      </w:r>
      <w:r>
        <w:rPr>
          <w:rFonts w:ascii="宋体" w:hAnsi="宋体"/>
        </w:rPr>
        <w:t>要求的一种组合方式，使得每天的收益率最大，而总方差最小。</w:t>
      </w:r>
      <w:r>
        <w:rPr>
          <w:rFonts w:ascii="宋体" w:hAnsi="宋体" w:hint="eastAsia"/>
        </w:rPr>
        <w:t>也就是说</w:t>
      </w:r>
      <w:r>
        <w:rPr>
          <w:rFonts w:ascii="宋体" w:hAnsi="宋体"/>
        </w:rPr>
        <w:t>，单位总风险</w:t>
      </w:r>
      <w:r>
        <w:rPr>
          <w:rFonts w:ascii="宋体" w:hAnsi="宋体" w:hint="eastAsia"/>
        </w:rPr>
        <w:t>对应的</w:t>
      </w:r>
      <w:r>
        <w:rPr>
          <w:rFonts w:ascii="宋体" w:hAnsi="宋体"/>
        </w:rPr>
        <w:t>收益率最大。</w:t>
      </w:r>
      <w:r>
        <w:rPr>
          <w:rFonts w:ascii="宋体" w:hAnsi="宋体" w:hint="eastAsia"/>
        </w:rPr>
        <w:t>经过</w:t>
      </w:r>
      <w:r>
        <w:rPr>
          <w:rFonts w:ascii="宋体" w:hAnsi="宋体"/>
        </w:rPr>
        <w:t>二次最优化</w:t>
      </w:r>
      <w:r>
        <w:rPr>
          <w:rFonts w:ascii="宋体" w:hAnsi="宋体" w:hint="eastAsia"/>
        </w:rPr>
        <w:t>运算，我们</w:t>
      </w:r>
      <w:r>
        <w:rPr>
          <w:rFonts w:ascii="宋体" w:hAnsi="宋体"/>
        </w:rPr>
        <w:t>得到如下结果：</w:t>
      </w:r>
    </w:p>
    <w:p w:rsidR="004165EC" w:rsidRDefault="00C97C8E">
      <w:pPr>
        <w:spacing w:line="360" w:lineRule="auto"/>
        <w:ind w:firstLineChars="200" w:firstLine="420"/>
        <w:rPr>
          <w:rFonts w:ascii="宋体" w:hAnsi="宋体"/>
        </w:rPr>
      </w:pPr>
      <w:r>
        <w:rPr>
          <w:rFonts w:ascii="宋体" w:hAnsi="宋体" w:hint="eastAsia"/>
        </w:rPr>
        <w:t>组合比例</w:t>
      </w:r>
      <w:r>
        <w:rPr>
          <w:rFonts w:ascii="宋体" w:hAnsi="宋体"/>
        </w:rPr>
        <w:t>：</w:t>
      </w:r>
      <w:r>
        <w:rPr>
          <w:rFonts w:ascii="宋体" w:hAnsi="宋体" w:hint="eastAsia"/>
        </w:rPr>
        <w:t>W</w:t>
      </w:r>
      <w:proofErr w:type="gramStart"/>
      <w:r>
        <w:rPr>
          <w:rFonts w:ascii="宋体" w:hAnsi="宋体"/>
        </w:rPr>
        <w:t>=[</w:t>
      </w:r>
      <w:proofErr w:type="gramEnd"/>
      <w:r>
        <w:rPr>
          <w:rFonts w:ascii="宋体" w:hAnsi="宋体"/>
        </w:rPr>
        <w:t>1.5,0.1,0.5,-1.1].</w:t>
      </w:r>
    </w:p>
    <w:p w:rsidR="004165EC" w:rsidRDefault="00C97C8E">
      <w:pPr>
        <w:spacing w:line="360" w:lineRule="auto"/>
        <w:ind w:firstLineChars="200" w:firstLine="420"/>
        <w:rPr>
          <w:rFonts w:ascii="宋体" w:hAnsi="宋体"/>
        </w:rPr>
      </w:pPr>
      <w:r>
        <w:rPr>
          <w:rFonts w:ascii="宋体" w:hAnsi="宋体" w:hint="eastAsia"/>
        </w:rPr>
        <w:t>日平均收益率</w:t>
      </w:r>
      <w:r>
        <w:rPr>
          <w:rFonts w:ascii="宋体" w:hAnsi="宋体"/>
        </w:rPr>
        <w:t>：R=0.1015.</w:t>
      </w:r>
    </w:p>
    <w:p w:rsidR="004165EC" w:rsidRDefault="00C97C8E">
      <w:pPr>
        <w:spacing w:line="360" w:lineRule="auto"/>
        <w:ind w:firstLineChars="200" w:firstLine="420"/>
        <w:rPr>
          <w:rFonts w:ascii="宋体" w:hAnsi="宋体"/>
        </w:rPr>
      </w:pPr>
      <w:r>
        <w:rPr>
          <w:rFonts w:ascii="宋体" w:hAnsi="宋体" w:hint="eastAsia"/>
        </w:rPr>
        <w:t>日平均收益率方差</w:t>
      </w:r>
      <w:r>
        <w:rPr>
          <w:rFonts w:ascii="宋体" w:hAnsi="宋体"/>
        </w:rPr>
        <w:t>：</w:t>
      </w:r>
      <w:r>
        <w:rPr>
          <w:rFonts w:ascii="宋体" w:hAnsi="宋体" w:hint="eastAsia"/>
        </w:rPr>
        <w:t>2.69946</w:t>
      </w:r>
      <w:r>
        <w:rPr>
          <w:rFonts w:ascii="宋体" w:hAnsi="宋体"/>
        </w:rPr>
        <w:t>80851</w:t>
      </w:r>
    </w:p>
    <w:p w:rsidR="004165EC" w:rsidRDefault="00C97C8E">
      <w:pPr>
        <w:spacing w:line="360" w:lineRule="auto"/>
        <w:ind w:firstLineChars="200" w:firstLine="420"/>
        <w:rPr>
          <w:rFonts w:ascii="宋体" w:hAnsi="宋体"/>
        </w:rPr>
      </w:pPr>
      <w:r>
        <w:rPr>
          <w:rFonts w:ascii="宋体" w:hAnsi="宋体" w:hint="eastAsia"/>
        </w:rPr>
        <w:t>所以</w:t>
      </w:r>
      <w:r>
        <w:rPr>
          <w:rFonts w:ascii="宋体" w:hAnsi="宋体"/>
        </w:rPr>
        <w:t>，</w:t>
      </w:r>
      <w:r>
        <w:rPr>
          <w:rFonts w:ascii="宋体" w:hAnsi="宋体" w:hint="eastAsia"/>
        </w:rPr>
        <w:t>在一个没有</w:t>
      </w:r>
      <w:r>
        <w:rPr>
          <w:rFonts w:ascii="宋体" w:hAnsi="宋体"/>
        </w:rPr>
        <w:t>明显的交易机会出现的市场中</w:t>
      </w:r>
      <w:r>
        <w:rPr>
          <w:rFonts w:ascii="宋体" w:hAnsi="宋体" w:hint="eastAsia"/>
        </w:rPr>
        <w:t>，</w:t>
      </w:r>
      <w:r>
        <w:rPr>
          <w:rFonts w:ascii="宋体" w:hAnsi="宋体"/>
        </w:rPr>
        <w:t>应该持有</w:t>
      </w:r>
      <w:r>
        <w:rPr>
          <w:rFonts w:ascii="宋体" w:hAnsi="宋体" w:hint="eastAsia"/>
        </w:rPr>
        <w:t>1.5单位</w:t>
      </w:r>
      <w:r>
        <w:rPr>
          <w:rFonts w:ascii="宋体" w:hAnsi="宋体"/>
        </w:rPr>
        <w:t>的铜，</w:t>
      </w:r>
      <w:r>
        <w:rPr>
          <w:rFonts w:ascii="宋体" w:hAnsi="宋体" w:hint="eastAsia"/>
        </w:rPr>
        <w:t>0.1单位</w:t>
      </w:r>
      <w:r>
        <w:rPr>
          <w:rFonts w:ascii="宋体" w:hAnsi="宋体"/>
        </w:rPr>
        <w:t>的焦炭，</w:t>
      </w:r>
      <w:r>
        <w:rPr>
          <w:rFonts w:ascii="宋体" w:hAnsi="宋体" w:hint="eastAsia"/>
        </w:rPr>
        <w:t>0.5单位</w:t>
      </w:r>
      <w:r>
        <w:rPr>
          <w:rFonts w:ascii="宋体" w:hAnsi="宋体"/>
        </w:rPr>
        <w:t>的豆</w:t>
      </w:r>
      <w:proofErr w:type="gramStart"/>
      <w:r>
        <w:rPr>
          <w:rFonts w:ascii="宋体" w:hAnsi="宋体"/>
        </w:rPr>
        <w:t>粕</w:t>
      </w:r>
      <w:proofErr w:type="gramEnd"/>
      <w:r>
        <w:rPr>
          <w:rFonts w:ascii="宋体" w:hAnsi="宋体" w:hint="eastAsia"/>
        </w:rPr>
        <w:t>，</w:t>
      </w:r>
      <w:r>
        <w:rPr>
          <w:rFonts w:ascii="宋体" w:hAnsi="宋体"/>
        </w:rPr>
        <w:t>卖空</w:t>
      </w:r>
      <w:r>
        <w:rPr>
          <w:rFonts w:ascii="宋体" w:hAnsi="宋体" w:hint="eastAsia"/>
        </w:rPr>
        <w:t>1.1单位</w:t>
      </w:r>
      <w:r>
        <w:rPr>
          <w:rFonts w:ascii="宋体" w:hAnsi="宋体"/>
        </w:rPr>
        <w:t>的天然橡胶</w:t>
      </w:r>
      <w:r>
        <w:rPr>
          <w:rFonts w:ascii="宋体" w:hAnsi="宋体" w:hint="eastAsia"/>
        </w:rPr>
        <w:t>，</w:t>
      </w:r>
      <w:r>
        <w:rPr>
          <w:rFonts w:ascii="宋体" w:hAnsi="宋体"/>
        </w:rPr>
        <w:t>来构成我们的初始</w:t>
      </w:r>
      <w:proofErr w:type="gramStart"/>
      <w:r>
        <w:rPr>
          <w:rFonts w:ascii="宋体" w:hAnsi="宋体"/>
        </w:rPr>
        <w:t>仓位</w:t>
      </w:r>
      <w:proofErr w:type="gramEnd"/>
      <w:r>
        <w:rPr>
          <w:rFonts w:ascii="宋体" w:hAnsi="宋体"/>
        </w:rPr>
        <w:t>。</w:t>
      </w:r>
    </w:p>
    <w:p w:rsidR="004165EC" w:rsidRDefault="00C97C8E">
      <w:pPr>
        <w:spacing w:line="360" w:lineRule="auto"/>
        <w:rPr>
          <w:rFonts w:ascii="宋体" w:hAnsi="宋体"/>
          <w:b/>
        </w:rPr>
      </w:pPr>
      <w:r>
        <w:rPr>
          <w:rFonts w:ascii="宋体" w:hAnsi="宋体" w:hint="eastAsia"/>
          <w:b/>
        </w:rPr>
        <w:t>2.3.2 结论</w:t>
      </w:r>
    </w:p>
    <w:p w:rsidR="004165EC" w:rsidRDefault="00C97C8E">
      <w:pPr>
        <w:spacing w:line="360" w:lineRule="auto"/>
        <w:ind w:firstLineChars="200" w:firstLine="420"/>
        <w:rPr>
          <w:rFonts w:ascii="宋体" w:hAnsi="宋体"/>
        </w:rPr>
      </w:pPr>
      <w:r>
        <w:rPr>
          <w:rFonts w:ascii="宋体" w:hAnsi="宋体" w:hint="eastAsia"/>
        </w:rPr>
        <w:t>考虑投资组合策略时，建议初始</w:t>
      </w:r>
      <w:proofErr w:type="gramStart"/>
      <w:r>
        <w:rPr>
          <w:rFonts w:ascii="宋体" w:hAnsi="宋体" w:hint="eastAsia"/>
        </w:rPr>
        <w:t>仓位</w:t>
      </w:r>
      <w:proofErr w:type="gramEnd"/>
      <w:r>
        <w:rPr>
          <w:rFonts w:ascii="宋体" w:hAnsi="宋体" w:hint="eastAsia"/>
        </w:rPr>
        <w:t>为</w:t>
      </w:r>
      <w:r>
        <w:rPr>
          <w:rFonts w:ascii="宋体" w:hAnsi="宋体"/>
        </w:rPr>
        <w:t>有</w:t>
      </w:r>
      <w:r>
        <w:rPr>
          <w:rFonts w:ascii="宋体" w:hAnsi="宋体" w:hint="eastAsia"/>
        </w:rPr>
        <w:t>1.5单位</w:t>
      </w:r>
      <w:r>
        <w:rPr>
          <w:rFonts w:ascii="宋体" w:hAnsi="宋体"/>
        </w:rPr>
        <w:t>的铜，</w:t>
      </w:r>
      <w:r>
        <w:rPr>
          <w:rFonts w:ascii="宋体" w:hAnsi="宋体" w:hint="eastAsia"/>
        </w:rPr>
        <w:t>0.1单位</w:t>
      </w:r>
      <w:r>
        <w:rPr>
          <w:rFonts w:ascii="宋体" w:hAnsi="宋体"/>
        </w:rPr>
        <w:t>的焦炭，</w:t>
      </w:r>
      <w:r>
        <w:rPr>
          <w:rFonts w:ascii="宋体" w:hAnsi="宋体" w:hint="eastAsia"/>
        </w:rPr>
        <w:t>0.5单位</w:t>
      </w:r>
      <w:r>
        <w:rPr>
          <w:rFonts w:ascii="宋体" w:hAnsi="宋体"/>
        </w:rPr>
        <w:t>的豆</w:t>
      </w:r>
      <w:proofErr w:type="gramStart"/>
      <w:r>
        <w:rPr>
          <w:rFonts w:ascii="宋体" w:hAnsi="宋体"/>
        </w:rPr>
        <w:t>粕</w:t>
      </w:r>
      <w:proofErr w:type="gramEnd"/>
      <w:r>
        <w:rPr>
          <w:rFonts w:ascii="宋体" w:hAnsi="宋体" w:hint="eastAsia"/>
        </w:rPr>
        <w:t>，</w:t>
      </w:r>
      <w:r>
        <w:rPr>
          <w:rFonts w:ascii="宋体" w:hAnsi="宋体"/>
        </w:rPr>
        <w:t>卖空</w:t>
      </w:r>
      <w:r>
        <w:rPr>
          <w:rFonts w:ascii="宋体" w:hAnsi="宋体" w:hint="eastAsia"/>
        </w:rPr>
        <w:t>1.1单位</w:t>
      </w:r>
      <w:r>
        <w:rPr>
          <w:rFonts w:ascii="宋体" w:hAnsi="宋体"/>
        </w:rPr>
        <w:t>的天然橡胶</w:t>
      </w:r>
      <w:r>
        <w:rPr>
          <w:rFonts w:ascii="宋体" w:hAnsi="宋体" w:hint="eastAsia"/>
        </w:rPr>
        <w:t>。在后续交易中，根据市场实际情况进行调整，但一般说来各品种持仓量保持在这个水平上下较小幅度波动。</w:t>
      </w:r>
    </w:p>
    <w:p w:rsidR="004165EC" w:rsidRDefault="00C97C8E">
      <w:pPr>
        <w:spacing w:line="360" w:lineRule="auto"/>
        <w:rPr>
          <w:rFonts w:ascii="宋体" w:hAnsi="宋体" w:cs="宋体"/>
          <w:b/>
          <w:bCs/>
          <w:sz w:val="28"/>
          <w:szCs w:val="28"/>
        </w:rPr>
      </w:pPr>
      <w:r>
        <w:rPr>
          <w:rFonts w:ascii="宋体" w:hAnsi="宋体" w:cs="宋体" w:hint="eastAsia"/>
          <w:b/>
          <w:bCs/>
          <w:sz w:val="28"/>
          <w:szCs w:val="28"/>
        </w:rPr>
        <w:t>3 交易策略选择（趋势交易策略）</w:t>
      </w:r>
    </w:p>
    <w:p w:rsidR="004165EC" w:rsidRDefault="00C97C8E">
      <w:pPr>
        <w:spacing w:line="360" w:lineRule="auto"/>
        <w:rPr>
          <w:rFonts w:ascii="宋体" w:hAnsi="宋体" w:cs="宋体"/>
          <w:b/>
          <w:bCs/>
          <w:sz w:val="24"/>
          <w:szCs w:val="24"/>
        </w:rPr>
      </w:pPr>
      <w:r>
        <w:rPr>
          <w:rFonts w:ascii="宋体" w:hAnsi="宋体" w:cs="宋体" w:hint="eastAsia"/>
          <w:b/>
          <w:bCs/>
          <w:sz w:val="24"/>
          <w:szCs w:val="24"/>
        </w:rPr>
        <w:t>3.1 趋势交易策略简介</w:t>
      </w:r>
    </w:p>
    <w:p w:rsidR="004165EC" w:rsidRDefault="00C97C8E">
      <w:pPr>
        <w:spacing w:line="360" w:lineRule="auto"/>
        <w:rPr>
          <w:rFonts w:ascii="宋体" w:hAnsi="宋体" w:cs="宋体"/>
          <w:szCs w:val="21"/>
        </w:rPr>
      </w:pPr>
      <w:r>
        <w:rPr>
          <w:rFonts w:ascii="宋体" w:hAnsi="宋体" w:cs="宋体" w:hint="eastAsia"/>
          <w:szCs w:val="21"/>
        </w:rPr>
        <w:t xml:space="preserve">    金融价格波动可以分为两大类：趋势行情与振荡行情，相应地交易方式也可以分为趋势交易与振荡交易两类。对于期货投资而言，由于具有保证金杠杆机制与双向交易特性，每年的趋势投资机会非常多，如果能很好地把握一些品种的趋势性行情机会，投资收益是非常可观的。</w:t>
      </w:r>
    </w:p>
    <w:p w:rsidR="004165EC" w:rsidRDefault="00C97C8E">
      <w:pPr>
        <w:spacing w:line="360" w:lineRule="auto"/>
        <w:rPr>
          <w:rFonts w:ascii="宋体" w:hAnsi="宋体" w:cs="宋体"/>
          <w:szCs w:val="21"/>
        </w:rPr>
      </w:pPr>
      <w:r>
        <w:rPr>
          <w:rFonts w:ascii="宋体" w:hAnsi="宋体" w:cs="宋体" w:hint="eastAsia"/>
          <w:szCs w:val="21"/>
        </w:rPr>
        <w:t>从实际交易的情况来看，虽然趋势性行情的机会众多，但大多数投资者并不能很好地抓住这些机遇，主要原因在于：对趋势的定义和特性没有清晰的概念；没有简洁明了的判断方法；主观因素影响理性判断，建仓时机把握不好；加仓方式不是很科学；对各品种特性没有仔细分析，选择了一些并不是很适合</w:t>
      </w:r>
      <w:proofErr w:type="gramStart"/>
      <w:r>
        <w:rPr>
          <w:rFonts w:ascii="宋体" w:hAnsi="宋体" w:cs="宋体" w:hint="eastAsia"/>
          <w:szCs w:val="21"/>
        </w:rPr>
        <w:t>做趋势</w:t>
      </w:r>
      <w:proofErr w:type="gramEnd"/>
      <w:r>
        <w:rPr>
          <w:rFonts w:ascii="宋体" w:hAnsi="宋体" w:cs="宋体" w:hint="eastAsia"/>
          <w:szCs w:val="21"/>
        </w:rPr>
        <w:t>交易的期货品种。</w:t>
      </w:r>
    </w:p>
    <w:p w:rsidR="004165EC" w:rsidRDefault="00C97C8E">
      <w:pPr>
        <w:spacing w:line="360" w:lineRule="auto"/>
        <w:rPr>
          <w:rFonts w:ascii="宋体" w:hAnsi="宋体" w:cs="宋体"/>
          <w:szCs w:val="21"/>
        </w:rPr>
      </w:pPr>
      <w:r>
        <w:rPr>
          <w:rFonts w:ascii="宋体" w:hAnsi="宋体" w:cs="宋体" w:hint="eastAsia"/>
          <w:szCs w:val="21"/>
        </w:rPr>
        <w:t>针对这些客观存在的问题，接下来这一部分旨在根据历史交易数据，判断固定窗口期内期货价格走势，识别趋势行情，并分析相关宏观经济指标与期货价格走势的关系，以实现利用宏观经济指标预测未来期货行情。在此基础上，调整投资组合中不同期货品种的权重，以达到整体投资收益最大的目的。</w:t>
      </w:r>
    </w:p>
    <w:p w:rsidR="004165EC" w:rsidRDefault="00C97C8E">
      <w:pPr>
        <w:spacing w:line="360" w:lineRule="auto"/>
        <w:rPr>
          <w:rFonts w:ascii="宋体" w:hAnsi="宋体" w:cs="宋体"/>
          <w:sz w:val="24"/>
          <w:szCs w:val="24"/>
        </w:rPr>
      </w:pPr>
      <w:r>
        <w:rPr>
          <w:rFonts w:ascii="宋体" w:hAnsi="宋体" w:cs="宋体" w:hint="eastAsia"/>
          <w:b/>
          <w:bCs/>
          <w:sz w:val="24"/>
          <w:szCs w:val="24"/>
        </w:rPr>
        <w:t>3.2趋势识别方法</w:t>
      </w:r>
    </w:p>
    <w:p w:rsidR="004165EC" w:rsidRDefault="00C97C8E">
      <w:pPr>
        <w:spacing w:line="360" w:lineRule="auto"/>
        <w:rPr>
          <w:b/>
          <w:bCs/>
        </w:rPr>
      </w:pPr>
      <w:r>
        <w:rPr>
          <w:rFonts w:hint="eastAsia"/>
          <w:b/>
          <w:bCs/>
        </w:rPr>
        <w:t>3.2.1.</w:t>
      </w:r>
      <w:r>
        <w:rPr>
          <w:rFonts w:hint="eastAsia"/>
          <w:b/>
          <w:bCs/>
        </w:rPr>
        <w:t>构建收益率指标（固定窗口期）</w:t>
      </w:r>
    </w:p>
    <w:p w:rsidR="004165EC" w:rsidRDefault="00C97C8E">
      <w:pPr>
        <w:spacing w:line="360" w:lineRule="auto"/>
        <w:ind w:firstLineChars="200" w:firstLine="420"/>
      </w:pPr>
      <w:r>
        <w:rPr>
          <w:rFonts w:hint="eastAsia"/>
        </w:rPr>
        <w:t>固定一个月为窗口期（大约</w:t>
      </w:r>
      <w:r>
        <w:rPr>
          <w:rFonts w:hint="eastAsia"/>
        </w:rPr>
        <w:t>20</w:t>
      </w:r>
      <w:r>
        <w:rPr>
          <w:rFonts w:hint="eastAsia"/>
        </w:rPr>
        <w:t>个交易日），以</w:t>
      </w:r>
      <w:proofErr w:type="gramStart"/>
      <w:r>
        <w:rPr>
          <w:rFonts w:hint="eastAsia"/>
        </w:rPr>
        <w:t>日数据</w:t>
      </w:r>
      <w:proofErr w:type="gramEnd"/>
      <w:r>
        <w:rPr>
          <w:rFonts w:hint="eastAsia"/>
        </w:rPr>
        <w:t>计算一个月内的收益率</w:t>
      </w:r>
      <w:r>
        <w:rPr>
          <w:rFonts w:hint="eastAsia"/>
          <w:position w:val="-4"/>
        </w:rPr>
        <w:object w:dxaOrig="180" w:dyaOrig="200">
          <v:shape id="图片 3" o:spid="_x0000_i1029" type="#_x0000_t75" style="width:9pt;height:9.75pt" o:ole="">
            <v:imagedata r:id="rId12" o:title=""/>
          </v:shape>
          <o:OLEObject Type="Embed" ProgID="Equation.3" ShapeID="图片 3" DrawAspect="Content" ObjectID="_1480851511" r:id="rId13"/>
        </w:object>
      </w:r>
      <w:r>
        <w:rPr>
          <w:rFonts w:hint="eastAsia"/>
        </w:rPr>
        <w:t>：</w:t>
      </w:r>
      <w:r>
        <w:rPr>
          <w:rFonts w:hint="eastAsia"/>
          <w:position w:val="-12"/>
        </w:rPr>
        <w:object w:dxaOrig="1760" w:dyaOrig="360">
          <v:shape id="图片 1" o:spid="_x0000_i1030" type="#_x0000_t75" style="width:87.75pt;height:18pt" o:ole="">
            <v:imagedata r:id="rId14" o:title=""/>
          </v:shape>
          <o:OLEObject Type="Embed" ProgID="Equation.3" ShapeID="图片 1" DrawAspect="Content" ObjectID="_1480851512" r:id="rId15"/>
        </w:object>
      </w:r>
    </w:p>
    <w:p w:rsidR="004165EC" w:rsidRDefault="00C97C8E">
      <w:pPr>
        <w:spacing w:line="360" w:lineRule="auto"/>
        <w:ind w:firstLineChars="200" w:firstLine="420"/>
      </w:pPr>
      <w:r>
        <w:rPr>
          <w:rFonts w:hint="eastAsia"/>
        </w:rPr>
        <w:lastRenderedPageBreak/>
        <w:t>以</w:t>
      </w:r>
      <w:r>
        <w:rPr>
          <w:rFonts w:hint="eastAsia"/>
          <w:position w:val="-4"/>
        </w:rPr>
        <w:object w:dxaOrig="180" w:dyaOrig="200">
          <v:shape id="图片 4" o:spid="_x0000_i1031" type="#_x0000_t75" style="width:9pt;height:9.75pt" o:ole="">
            <v:imagedata r:id="rId16" o:title=""/>
          </v:shape>
          <o:OLEObject Type="Embed" ProgID="Equation.3" ShapeID="图片 4" DrawAspect="Content" ObjectID="_1480851513" r:id="rId17"/>
        </w:object>
      </w:r>
      <w:r>
        <w:rPr>
          <w:rFonts w:hint="eastAsia"/>
        </w:rPr>
        <w:t>为指标来判断这段时期内的期货价格走势是震荡还是趋势。</w:t>
      </w:r>
    </w:p>
    <w:p w:rsidR="004165EC" w:rsidRDefault="00C97C8E">
      <w:pPr>
        <w:spacing w:line="360" w:lineRule="auto"/>
        <w:ind w:firstLineChars="200" w:firstLine="420"/>
      </w:pPr>
      <w:r>
        <w:rPr>
          <w:rFonts w:hint="eastAsia"/>
        </w:rPr>
        <w:t>判断方法：</w:t>
      </w:r>
    </w:p>
    <w:p w:rsidR="004165EC" w:rsidRDefault="00C97C8E">
      <w:pPr>
        <w:numPr>
          <w:ilvl w:val="0"/>
          <w:numId w:val="2"/>
        </w:numPr>
        <w:spacing w:line="360" w:lineRule="auto"/>
        <w:ind w:firstLineChars="200" w:firstLine="420"/>
      </w:pPr>
      <w:r>
        <w:rPr>
          <w:rFonts w:hint="eastAsia"/>
          <w:position w:val="-14"/>
        </w:rPr>
        <w:object w:dxaOrig="1260" w:dyaOrig="400">
          <v:shape id="图片 5" o:spid="_x0000_i1032" type="#_x0000_t75" style="width:63pt;height:20.25pt" o:ole="">
            <v:imagedata r:id="rId18" o:title=""/>
          </v:shape>
          <o:OLEObject Type="Embed" ProgID="Equation.3" ShapeID="图片 5" DrawAspect="Content" ObjectID="_1480851514" r:id="rId19"/>
        </w:object>
      </w:r>
      <w:r>
        <w:rPr>
          <w:rFonts w:hint="eastAsia"/>
        </w:rPr>
        <w:t>,</w:t>
      </w:r>
      <w:proofErr w:type="gramStart"/>
      <w:r>
        <w:rPr>
          <w:rFonts w:hint="eastAsia"/>
        </w:rPr>
        <w:t>则判断</w:t>
      </w:r>
      <w:proofErr w:type="gramEnd"/>
      <w:r>
        <w:rPr>
          <w:rFonts w:hint="eastAsia"/>
        </w:rPr>
        <w:t>为趋势。若</w:t>
      </w:r>
      <w:r>
        <w:rPr>
          <w:rFonts w:hint="eastAsia"/>
          <w:position w:val="-10"/>
        </w:rPr>
        <w:object w:dxaOrig="600" w:dyaOrig="320">
          <v:shape id="图片 6" o:spid="_x0000_i1033" type="#_x0000_t75" style="width:30pt;height:15.75pt" o:ole="">
            <v:imagedata r:id="rId20" o:title=""/>
          </v:shape>
          <o:OLEObject Type="Embed" ProgID="Equation.3" ShapeID="图片 6" DrawAspect="Content" ObjectID="_1480851515" r:id="rId21"/>
        </w:object>
      </w:r>
      <w:proofErr w:type="gramStart"/>
      <w:r>
        <w:rPr>
          <w:rFonts w:hint="eastAsia"/>
        </w:rPr>
        <w:t>则判断</w:t>
      </w:r>
      <w:proofErr w:type="gramEnd"/>
      <w:r>
        <w:rPr>
          <w:rFonts w:hint="eastAsia"/>
        </w:rPr>
        <w:t>为上升趋势。否则为下跌趋势。</w:t>
      </w:r>
    </w:p>
    <w:p w:rsidR="004165EC" w:rsidRDefault="00C97C8E">
      <w:pPr>
        <w:spacing w:line="360" w:lineRule="auto"/>
      </w:pPr>
      <w:r>
        <w:rPr>
          <w:rFonts w:hint="eastAsia"/>
        </w:rPr>
        <w:t xml:space="preserve">    </w:t>
      </w:r>
      <w:r>
        <w:rPr>
          <w:rFonts w:hint="eastAsia"/>
        </w:rPr>
        <w:t>（</w:t>
      </w:r>
      <w:r>
        <w:rPr>
          <w:rFonts w:hint="eastAsia"/>
        </w:rPr>
        <w:t>2</w:t>
      </w:r>
      <w:r>
        <w:rPr>
          <w:rFonts w:hint="eastAsia"/>
        </w:rPr>
        <w:t>）</w:t>
      </w:r>
      <w:r>
        <w:rPr>
          <w:rFonts w:hint="eastAsia"/>
          <w:position w:val="-14"/>
        </w:rPr>
        <w:object w:dxaOrig="1320" w:dyaOrig="400">
          <v:shape id="图片 7" o:spid="_x0000_i1034" type="#_x0000_t75" style="width:66pt;height:20.25pt" o:ole="">
            <v:imagedata r:id="rId22" o:title=""/>
          </v:shape>
          <o:OLEObject Type="Embed" ProgID="Equation.3" ShapeID="图片 7" DrawAspect="Content" ObjectID="_1480851516" r:id="rId23"/>
        </w:object>
      </w:r>
      <w:proofErr w:type="gramStart"/>
      <w:r>
        <w:rPr>
          <w:rFonts w:hint="eastAsia"/>
        </w:rPr>
        <w:t>则判断</w:t>
      </w:r>
      <w:proofErr w:type="gramEnd"/>
      <w:r>
        <w:rPr>
          <w:rFonts w:hint="eastAsia"/>
        </w:rPr>
        <w:t>为震荡行情。</w:t>
      </w:r>
    </w:p>
    <w:p w:rsidR="004165EC" w:rsidRDefault="00C97C8E">
      <w:pPr>
        <w:spacing w:line="360" w:lineRule="auto"/>
        <w:ind w:firstLineChars="200" w:firstLine="420"/>
      </w:pPr>
      <w:r>
        <w:rPr>
          <w:rFonts w:hint="eastAsia"/>
        </w:rPr>
        <w:t>其中</w:t>
      </w:r>
      <w:r>
        <w:rPr>
          <w:rFonts w:hint="eastAsia"/>
        </w:rPr>
        <w:t xml:space="preserve"> </w:t>
      </w:r>
      <w:r>
        <w:rPr>
          <w:rFonts w:hint="eastAsia"/>
          <w:position w:val="-12"/>
        </w:rPr>
        <w:object w:dxaOrig="240" w:dyaOrig="380">
          <v:shape id="图片 2" o:spid="_x0000_i1035" type="#_x0000_t75" style="width:12pt;height:18.75pt" o:ole="">
            <v:imagedata r:id="rId24" o:title=""/>
          </v:shape>
          <o:OLEObject Type="Embed" ProgID="Equation.3" ShapeID="图片 2" DrawAspect="Content" ObjectID="_1480851517" r:id="rId25"/>
        </w:object>
      </w:r>
      <w:r>
        <w:rPr>
          <w:rFonts w:hint="eastAsia"/>
        </w:rPr>
        <w:t>&gt;0</w:t>
      </w:r>
      <w:r>
        <w:rPr>
          <w:rFonts w:hint="eastAsia"/>
        </w:rPr>
        <w:t>为上海银行间同业拆放月利率。</w:t>
      </w:r>
    </w:p>
    <w:p w:rsidR="004165EC" w:rsidRDefault="00C97C8E">
      <w:pPr>
        <w:spacing w:line="360" w:lineRule="auto"/>
      </w:pPr>
      <w:r>
        <w:rPr>
          <w:rFonts w:hint="eastAsia"/>
          <w:b/>
          <w:bCs/>
        </w:rPr>
        <w:t>3.2.2</w:t>
      </w:r>
      <w:r>
        <w:rPr>
          <w:rFonts w:hint="eastAsia"/>
          <w:b/>
          <w:bCs/>
        </w:rPr>
        <w:t>斜率</w:t>
      </w:r>
      <w:r>
        <w:rPr>
          <w:rFonts w:hint="eastAsia"/>
          <w:b/>
          <w:bCs/>
        </w:rPr>
        <w:t>k</w:t>
      </w:r>
      <w:r>
        <w:rPr>
          <w:rFonts w:hint="eastAsia"/>
          <w:b/>
          <w:bCs/>
        </w:rPr>
        <w:t>值指标（固定窗口期）</w:t>
      </w:r>
      <w:r>
        <w:rPr>
          <w:rFonts w:hint="eastAsia"/>
        </w:rPr>
        <w:t>：</w:t>
      </w:r>
    </w:p>
    <w:p w:rsidR="004165EC" w:rsidRDefault="00C97C8E">
      <w:pPr>
        <w:spacing w:line="360" w:lineRule="auto"/>
      </w:pPr>
      <w:r>
        <w:rPr>
          <w:rFonts w:hint="eastAsia"/>
        </w:rPr>
        <w:t xml:space="preserve">    </w:t>
      </w:r>
      <w:r>
        <w:rPr>
          <w:rFonts w:hint="eastAsia"/>
        </w:rPr>
        <w:t>固定一个月为窗口期（大约</w:t>
      </w:r>
      <w:r>
        <w:rPr>
          <w:rFonts w:hint="eastAsia"/>
        </w:rPr>
        <w:t>20</w:t>
      </w:r>
      <w:r>
        <w:rPr>
          <w:rFonts w:hint="eastAsia"/>
        </w:rPr>
        <w:t>个交易日），以</w:t>
      </w:r>
      <w:r>
        <w:rPr>
          <w:rFonts w:hint="eastAsia"/>
        </w:rPr>
        <w:t>5</w:t>
      </w:r>
      <w:r>
        <w:rPr>
          <w:rFonts w:hint="eastAsia"/>
        </w:rPr>
        <w:t>分钟数据计算。</w:t>
      </w:r>
    </w:p>
    <w:p w:rsidR="004165EC" w:rsidRDefault="00C97C8E">
      <w:pPr>
        <w:spacing w:line="360" w:lineRule="auto"/>
      </w:pPr>
      <w:r>
        <w:rPr>
          <w:rFonts w:hint="eastAsia"/>
        </w:rPr>
        <w:t xml:space="preserve">    </w:t>
      </w:r>
      <w:r>
        <w:rPr>
          <w:rFonts w:hint="eastAsia"/>
        </w:rPr>
        <w:t>步骤：</w:t>
      </w:r>
    </w:p>
    <w:p w:rsidR="004165EC" w:rsidRDefault="00C97C8E">
      <w:pPr>
        <w:spacing w:line="360" w:lineRule="auto"/>
        <w:ind w:firstLineChars="200" w:firstLine="420"/>
      </w:pPr>
      <w:r>
        <w:rPr>
          <w:rFonts w:hint="eastAsia"/>
        </w:rPr>
        <w:t xml:space="preserve"> </w:t>
      </w:r>
      <w:r>
        <w:rPr>
          <w:rFonts w:hint="eastAsia"/>
        </w:rPr>
        <w:t>（</w:t>
      </w:r>
      <w:r>
        <w:rPr>
          <w:rFonts w:hint="eastAsia"/>
        </w:rPr>
        <w:t>1</w:t>
      </w:r>
      <w:r>
        <w:rPr>
          <w:rFonts w:hint="eastAsia"/>
        </w:rPr>
        <w:t>）对一个月内的</w:t>
      </w:r>
      <w:r>
        <w:rPr>
          <w:rFonts w:hint="eastAsia"/>
        </w:rPr>
        <w:t>5</w:t>
      </w:r>
      <w:r>
        <w:rPr>
          <w:rFonts w:hint="eastAsia"/>
        </w:rPr>
        <w:t>分钟数据进行平滑处理（平滑曲线用局部加权回归散点平滑法）；</w:t>
      </w:r>
    </w:p>
    <w:p w:rsidR="004165EC" w:rsidRDefault="00C97C8E">
      <w:pPr>
        <w:spacing w:line="360" w:lineRule="auto"/>
      </w:pPr>
      <w:r>
        <w:rPr>
          <w:rFonts w:hint="eastAsia"/>
        </w:rPr>
        <w:t xml:space="preserve">     </w:t>
      </w:r>
      <w:r>
        <w:rPr>
          <w:rFonts w:hint="eastAsia"/>
        </w:rPr>
        <w:t>（</w:t>
      </w:r>
      <w:r>
        <w:rPr>
          <w:rFonts w:hint="eastAsia"/>
        </w:rPr>
        <w:t>2</w:t>
      </w:r>
      <w:r>
        <w:rPr>
          <w:rFonts w:hint="eastAsia"/>
        </w:rPr>
        <w:t>）找出平滑后的数据的极大值点和极小值点；</w:t>
      </w:r>
    </w:p>
    <w:p w:rsidR="004165EC" w:rsidRDefault="00C97C8E">
      <w:pPr>
        <w:spacing w:line="360" w:lineRule="auto"/>
      </w:pPr>
      <w:r>
        <w:rPr>
          <w:rFonts w:hint="eastAsia"/>
        </w:rPr>
        <w:t xml:space="preserve">     </w:t>
      </w:r>
      <w:r>
        <w:rPr>
          <w:rFonts w:hint="eastAsia"/>
        </w:rPr>
        <w:t>（</w:t>
      </w:r>
      <w:r>
        <w:rPr>
          <w:rFonts w:hint="eastAsia"/>
        </w:rPr>
        <w:t>3</w:t>
      </w:r>
      <w:r>
        <w:rPr>
          <w:rFonts w:hint="eastAsia"/>
        </w:rPr>
        <w:t>）对极大值和极小值分别进行线性拟合，拟合后的斜率为</w:t>
      </w:r>
      <w:r>
        <w:rPr>
          <w:rFonts w:hint="eastAsia"/>
          <w:position w:val="-10"/>
        </w:rPr>
        <w:object w:dxaOrig="540" w:dyaOrig="340">
          <v:shape id="图片 8" o:spid="_x0000_i1036" type="#_x0000_t75" style="width:27pt;height:17.25pt" o:ole="">
            <v:imagedata r:id="rId26" o:title=""/>
          </v:shape>
          <o:OLEObject Type="Embed" ProgID="Equation.3" ShapeID="图片 8" DrawAspect="Content" ObjectID="_1480851518" r:id="rId27"/>
        </w:object>
      </w:r>
      <w:r>
        <w:rPr>
          <w:rFonts w:hint="eastAsia"/>
          <w:position w:val="-10"/>
        </w:rPr>
        <w:t>；</w:t>
      </w:r>
    </w:p>
    <w:p w:rsidR="004165EC" w:rsidRDefault="00C97C8E">
      <w:pPr>
        <w:spacing w:line="360" w:lineRule="auto"/>
      </w:pPr>
      <w:r>
        <w:rPr>
          <w:rFonts w:hint="eastAsia"/>
        </w:rPr>
        <w:t xml:space="preserve">     </w:t>
      </w:r>
      <w:r>
        <w:rPr>
          <w:rFonts w:hint="eastAsia"/>
        </w:rPr>
        <w:t>（</w:t>
      </w:r>
      <w:r>
        <w:rPr>
          <w:rFonts w:hint="eastAsia"/>
        </w:rPr>
        <w:t>4</w:t>
      </w:r>
      <w:r>
        <w:rPr>
          <w:rFonts w:hint="eastAsia"/>
        </w:rPr>
        <w:t>）对</w:t>
      </w:r>
      <w:r>
        <w:rPr>
          <w:rFonts w:hint="eastAsia"/>
          <w:position w:val="-10"/>
        </w:rPr>
        <w:object w:dxaOrig="540" w:dyaOrig="340">
          <v:shape id="图片 9" o:spid="_x0000_i1037" type="#_x0000_t75" style="width:27pt;height:17.25pt" o:ole="">
            <v:imagedata r:id="rId28" o:title=""/>
          </v:shape>
          <o:OLEObject Type="Embed" ProgID="Equation.3" ShapeID="图片 9" DrawAspect="Content" ObjectID="_1480851519" r:id="rId29"/>
        </w:object>
      </w:r>
      <w:r>
        <w:rPr>
          <w:rFonts w:hint="eastAsia"/>
        </w:rPr>
        <w:t>进行加权平均得到</w:t>
      </w:r>
      <w:r>
        <w:rPr>
          <w:rFonts w:hint="eastAsia"/>
          <w:position w:val="-6"/>
        </w:rPr>
        <w:object w:dxaOrig="200" w:dyaOrig="279">
          <v:shape id="图片 10" o:spid="_x0000_i1038" type="#_x0000_t75" style="width:9.75pt;height:14.25pt" o:ole="">
            <v:imagedata r:id="rId30" o:title=""/>
          </v:shape>
          <o:OLEObject Type="Embed" ProgID="Equation.3" ShapeID="图片 10" DrawAspect="Content" ObjectID="_1480851520" r:id="rId31"/>
        </w:object>
      </w:r>
      <w:r>
        <w:rPr>
          <w:rFonts w:hint="eastAsia"/>
        </w:rPr>
        <w:t>。权重为线性拟合的拟合度。</w:t>
      </w:r>
    </w:p>
    <w:p w:rsidR="004165EC" w:rsidRDefault="00C97C8E">
      <w:pPr>
        <w:spacing w:line="360" w:lineRule="auto"/>
        <w:ind w:firstLineChars="200" w:firstLine="420"/>
      </w:pPr>
      <w:r>
        <w:rPr>
          <w:rFonts w:hint="eastAsia"/>
        </w:rPr>
        <w:t>判断方法：</w:t>
      </w:r>
    </w:p>
    <w:p w:rsidR="004165EC" w:rsidRDefault="00C97C8E">
      <w:pPr>
        <w:numPr>
          <w:ilvl w:val="0"/>
          <w:numId w:val="3"/>
        </w:numPr>
        <w:spacing w:line="360" w:lineRule="auto"/>
        <w:ind w:firstLineChars="200" w:firstLine="420"/>
      </w:pPr>
      <w:r>
        <w:rPr>
          <w:rFonts w:hint="eastAsia"/>
        </w:rPr>
        <w:t>若</w:t>
      </w:r>
      <w:r>
        <w:rPr>
          <w:rFonts w:hint="eastAsia"/>
          <w:position w:val="-14"/>
        </w:rPr>
        <w:object w:dxaOrig="779" w:dyaOrig="419">
          <v:shape id="图片 11" o:spid="_x0000_i1039" type="#_x0000_t75" style="width:39pt;height:21pt" o:ole="">
            <v:imagedata r:id="rId32" o:title=""/>
          </v:shape>
          <o:OLEObject Type="Embed" ProgID="Equation.3" ShapeID="图片 11" DrawAspect="Content" ObjectID="_1480851521" r:id="rId33"/>
        </w:object>
      </w:r>
      <w:proofErr w:type="gramStart"/>
      <w:r>
        <w:rPr>
          <w:rFonts w:hint="eastAsia"/>
        </w:rPr>
        <w:t>则判断</w:t>
      </w:r>
      <w:proofErr w:type="gramEnd"/>
      <w:r>
        <w:rPr>
          <w:rFonts w:hint="eastAsia"/>
        </w:rPr>
        <w:t>为趋势。若</w:t>
      </w:r>
      <w:r>
        <w:rPr>
          <w:rFonts w:hint="eastAsia"/>
          <w:position w:val="-10"/>
        </w:rPr>
        <w:object w:dxaOrig="620" w:dyaOrig="320">
          <v:shape id="图片 13" o:spid="_x0000_i1040" type="#_x0000_t75" style="width:30.75pt;height:15.75pt" o:ole="">
            <v:imagedata r:id="rId34" o:title=""/>
          </v:shape>
          <o:OLEObject Type="Embed" ProgID="Equation.3" ShapeID="图片 13" DrawAspect="Content" ObjectID="_1480851522" r:id="rId35"/>
        </w:object>
      </w:r>
      <w:r>
        <w:rPr>
          <w:rFonts w:hint="eastAsia"/>
        </w:rPr>
        <w:t>则为上升趋势，否则为下跌。</w:t>
      </w:r>
    </w:p>
    <w:p w:rsidR="004165EC" w:rsidRDefault="00C97C8E">
      <w:pPr>
        <w:numPr>
          <w:ilvl w:val="0"/>
          <w:numId w:val="3"/>
        </w:numPr>
        <w:spacing w:line="360" w:lineRule="auto"/>
        <w:ind w:firstLineChars="200" w:firstLine="420"/>
      </w:pPr>
      <w:r>
        <w:rPr>
          <w:rFonts w:hint="eastAsia"/>
        </w:rPr>
        <w:t>若</w:t>
      </w:r>
      <w:r>
        <w:rPr>
          <w:rFonts w:hint="eastAsia"/>
          <w:position w:val="-14"/>
        </w:rPr>
        <w:object w:dxaOrig="698" w:dyaOrig="419">
          <v:shape id="图片 14" o:spid="_x0000_i1041" type="#_x0000_t75" style="width:35.25pt;height:21pt" o:ole="">
            <v:imagedata r:id="rId36" o:title=""/>
          </v:shape>
          <o:OLEObject Type="Embed" ProgID="Equation.3" ShapeID="图片 14" DrawAspect="Content" ObjectID="_1480851523" r:id="rId37"/>
        </w:object>
      </w:r>
      <w:r>
        <w:rPr>
          <w:rFonts w:hint="eastAsia"/>
        </w:rPr>
        <w:t>，</w:t>
      </w:r>
      <w:proofErr w:type="gramStart"/>
      <w:r>
        <w:rPr>
          <w:rFonts w:hint="eastAsia"/>
        </w:rPr>
        <w:t>则判断</w:t>
      </w:r>
      <w:proofErr w:type="gramEnd"/>
      <w:r>
        <w:rPr>
          <w:rFonts w:hint="eastAsia"/>
        </w:rPr>
        <w:t>为震荡行情。</w:t>
      </w:r>
    </w:p>
    <w:p w:rsidR="004165EC" w:rsidRDefault="00C97C8E">
      <w:pPr>
        <w:spacing w:line="360" w:lineRule="auto"/>
        <w:ind w:firstLineChars="200" w:firstLine="420"/>
      </w:pPr>
      <w:r>
        <w:rPr>
          <w:rFonts w:hint="eastAsia"/>
        </w:rPr>
        <w:t>运用</w:t>
      </w:r>
      <w:r>
        <w:rPr>
          <w:rFonts w:hint="eastAsia"/>
        </w:rPr>
        <w:t>MATLAB</w:t>
      </w:r>
      <w:r>
        <w:rPr>
          <w:rFonts w:hint="eastAsia"/>
        </w:rPr>
        <w:t>实现，选取几个运行结果做展示：</w:t>
      </w:r>
    </w:p>
    <w:p w:rsidR="004165EC" w:rsidRDefault="00C97C8E">
      <w:r>
        <w:rPr>
          <w:rFonts w:hint="eastAsia"/>
        </w:rPr>
        <w:t xml:space="preserve">    2014</w:t>
      </w:r>
      <w:r>
        <w:rPr>
          <w:rFonts w:hint="eastAsia"/>
        </w:rPr>
        <w:t>年</w:t>
      </w:r>
      <w:r>
        <w:rPr>
          <w:rFonts w:hint="eastAsia"/>
        </w:rPr>
        <w:t>2</w:t>
      </w:r>
      <w:r>
        <w:rPr>
          <w:rFonts w:hint="eastAsia"/>
        </w:rPr>
        <w:t>月份</w:t>
      </w:r>
      <w:r>
        <w:rPr>
          <w:rFonts w:hint="eastAsia"/>
        </w:rPr>
        <w:t>5</w:t>
      </w:r>
      <w:r>
        <w:rPr>
          <w:rFonts w:hint="eastAsia"/>
        </w:rPr>
        <w:t>分钟收盘价：</w:t>
      </w:r>
      <w:r>
        <w:rPr>
          <w:rFonts w:hint="eastAsia"/>
        </w:rPr>
        <w:t>(</w:t>
      </w:r>
      <w:r>
        <w:t>下跌趋势</w:t>
      </w:r>
      <w:r>
        <w:rPr>
          <w:rFonts w:hint="eastAsia"/>
        </w:rPr>
        <w:t>)</w:t>
      </w:r>
    </w:p>
    <w:p w:rsidR="004165EC" w:rsidRDefault="00C97C8E">
      <w:pPr>
        <w:ind w:firstLineChars="200" w:firstLine="420"/>
      </w:pPr>
      <w:r>
        <w:t>平滑前</w:t>
      </w:r>
      <w:r>
        <w:rPr>
          <w:rFonts w:hint="eastAsia"/>
        </w:rPr>
        <w:t>：</w:t>
      </w:r>
    </w:p>
    <w:p w:rsidR="004165EC" w:rsidRDefault="00C97C8E">
      <w:pPr>
        <w:ind w:firstLineChars="200" w:firstLine="420"/>
      </w:pPr>
      <w:r>
        <w:pict>
          <v:shape id="_x0000_s1043" type="#_x0000_t75" style="position:absolute;left:0;text-align:left;margin-left:110.25pt;margin-top:536.25pt;width:404.5pt;height:203.75pt;z-index:40;mso-position-horizontal-relative:page;mso-position-vertical-relative:page">
            <v:imagedata r:id="rId38" o:title=""/>
            <w10:wrap anchorx="page" anchory="page"/>
          </v:shape>
        </w:pict>
      </w: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Pr="00C97C8E"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 w:rsidR="004165EC" w:rsidRDefault="00C97C8E">
      <w:pPr>
        <w:ind w:firstLineChars="200" w:firstLine="420"/>
      </w:pPr>
      <w:r>
        <w:lastRenderedPageBreak/>
        <w:t>平滑后</w:t>
      </w:r>
      <w:r>
        <w:rPr>
          <w:rFonts w:hint="eastAsia"/>
        </w:rPr>
        <w:t>：</w:t>
      </w:r>
    </w:p>
    <w:p w:rsidR="004165EC" w:rsidRDefault="00C97C8E">
      <w:pPr>
        <w:ind w:firstLineChars="200" w:firstLine="420"/>
      </w:pPr>
      <w:r>
        <w:pict>
          <v:shape id="图片 2" o:spid="_x0000_s1044" type="#_x0000_t75" style="position:absolute;left:0;text-align:left;margin-left:111pt;margin-top:94.15pt;width:415.3pt;height:203.75pt;z-index:41;mso-position-horizontal-relative:page;mso-position-vertical-relative:page">
            <v:imagedata r:id="rId39" o:title=""/>
            <w10:wrap anchorx="page" anchory="page"/>
          </v:shape>
        </w:pict>
      </w: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C97C8E">
      <w:r>
        <w:rPr>
          <w:rFonts w:hint="eastAsia"/>
        </w:rPr>
        <w:t xml:space="preserve">    </w:t>
      </w:r>
      <w:r>
        <w:rPr>
          <w:rFonts w:hint="eastAsia"/>
        </w:rPr>
        <w:t>计算得</w:t>
      </w:r>
      <w:r>
        <w:t>K</w:t>
      </w:r>
      <w:r>
        <w:rPr>
          <w:rFonts w:hint="eastAsia"/>
        </w:rPr>
        <w:t>=</w:t>
      </w:r>
      <w:r>
        <w:t>-6.2046</w:t>
      </w:r>
      <w:r>
        <w:rPr>
          <w:rFonts w:hint="eastAsia"/>
        </w:rPr>
        <w:t>，由判别方法判定为下降趋势，真实看图也是如此。</w:t>
      </w:r>
    </w:p>
    <w:p w:rsidR="004165EC" w:rsidRDefault="00C97C8E">
      <w:r>
        <w:rPr>
          <w:rFonts w:hint="eastAsia"/>
        </w:rPr>
        <w:t xml:space="preserve">    2014</w:t>
      </w:r>
      <w:r>
        <w:rPr>
          <w:rFonts w:hint="eastAsia"/>
        </w:rPr>
        <w:t>年</w:t>
      </w:r>
      <w:r>
        <w:rPr>
          <w:rFonts w:hint="eastAsia"/>
        </w:rPr>
        <w:t>4</w:t>
      </w:r>
      <w:r>
        <w:rPr>
          <w:rFonts w:hint="eastAsia"/>
        </w:rPr>
        <w:t>月份</w:t>
      </w:r>
      <w:r>
        <w:rPr>
          <w:rFonts w:hint="eastAsia"/>
        </w:rPr>
        <w:t>5</w:t>
      </w:r>
      <w:r>
        <w:rPr>
          <w:rFonts w:hint="eastAsia"/>
        </w:rPr>
        <w:t>分钟收盘价：（震荡）</w:t>
      </w:r>
    </w:p>
    <w:p w:rsidR="004165EC" w:rsidRDefault="00C97C8E">
      <w:pPr>
        <w:ind w:firstLineChars="200" w:firstLine="420"/>
      </w:pPr>
      <w:r>
        <w:rPr>
          <w:rFonts w:hint="eastAsia"/>
        </w:rPr>
        <w:t>平滑前：</w:t>
      </w:r>
    </w:p>
    <w:p w:rsidR="004165EC" w:rsidRDefault="00C97C8E">
      <w:pPr>
        <w:ind w:firstLineChars="200" w:firstLine="420"/>
      </w:pPr>
      <w:r>
        <w:pict>
          <v:shape id="图片 3" o:spid="_x0000_s1045" type="#_x0000_t75" style="position:absolute;left:0;text-align:left;margin-left:112.5pt;margin-top:358.55pt;width:415.3pt;height:203.85pt;z-index:42;mso-position-horizontal-relative:page;mso-position-vertical-relative:page">
            <v:imagedata r:id="rId40" o:title=""/>
            <w10:wrap anchorx="page" anchory="page"/>
          </v:shape>
        </w:pict>
      </w: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C97C8E">
      <w:r>
        <w:rPr>
          <w:rFonts w:hint="eastAsia"/>
        </w:rPr>
        <w:t xml:space="preserve">    </w:t>
      </w:r>
      <w:r>
        <w:rPr>
          <w:rFonts w:hint="eastAsia"/>
        </w:rPr>
        <w:t>平滑后：</w:t>
      </w:r>
    </w:p>
    <w:p w:rsidR="004165EC" w:rsidRDefault="00C97C8E">
      <w:pPr>
        <w:ind w:firstLineChars="200" w:firstLine="420"/>
      </w:pPr>
      <w:r>
        <w:pict>
          <v:shape id="图片 4" o:spid="_x0000_s1046" type="#_x0000_t75" style="position:absolute;left:0;text-align:left;margin-left:112.5pt;margin-top:591.3pt;width:415.3pt;height:210.8pt;z-index:43;mso-position-horizontal-relative:page;mso-position-vertical-relative:page">
            <v:imagedata r:id="rId41" o:title=""/>
            <w10:wrap anchorx="page" anchory="page"/>
          </v:shape>
        </w:pict>
      </w:r>
    </w:p>
    <w:p w:rsidR="004165EC" w:rsidRDefault="004165EC">
      <w:pPr>
        <w:ind w:firstLineChars="200" w:firstLine="420"/>
      </w:pPr>
    </w:p>
    <w:p w:rsidR="004165EC" w:rsidRDefault="004165EC">
      <w:pPr>
        <w:ind w:firstLineChars="200" w:firstLine="420"/>
      </w:pPr>
    </w:p>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C97C8E">
      <w:r>
        <w:rPr>
          <w:rFonts w:hint="eastAsia"/>
        </w:rPr>
        <w:lastRenderedPageBreak/>
        <w:t xml:space="preserve">    </w:t>
      </w:r>
      <w:r>
        <w:rPr>
          <w:rFonts w:hint="eastAsia"/>
        </w:rPr>
        <w:t>计算得</w:t>
      </w:r>
      <w:r>
        <w:rPr>
          <w:rFonts w:hint="eastAsia"/>
        </w:rPr>
        <w:t>k=1.4772</w:t>
      </w:r>
      <w:r>
        <w:rPr>
          <w:rFonts w:hint="eastAsia"/>
        </w:rPr>
        <w:t>，由判别方式判别为震荡，直观判断也是如此。</w:t>
      </w:r>
    </w:p>
    <w:p w:rsidR="004165EC" w:rsidRDefault="004165EC"/>
    <w:p w:rsidR="004165EC" w:rsidRDefault="00C97C8E">
      <w:r>
        <w:rPr>
          <w:rFonts w:hint="eastAsia"/>
        </w:rPr>
        <w:t xml:space="preserve">    2014</w:t>
      </w:r>
      <w:r>
        <w:rPr>
          <w:rFonts w:hint="eastAsia"/>
        </w:rPr>
        <w:t>年</w:t>
      </w:r>
      <w:r>
        <w:rPr>
          <w:rFonts w:hint="eastAsia"/>
        </w:rPr>
        <w:t>5</w:t>
      </w:r>
      <w:r>
        <w:rPr>
          <w:rFonts w:hint="eastAsia"/>
        </w:rPr>
        <w:t>月份</w:t>
      </w:r>
      <w:r>
        <w:rPr>
          <w:rFonts w:hint="eastAsia"/>
        </w:rPr>
        <w:t>5</w:t>
      </w:r>
      <w:r>
        <w:rPr>
          <w:rFonts w:hint="eastAsia"/>
        </w:rPr>
        <w:t>分钟收盘价：（上升趋势）</w:t>
      </w:r>
    </w:p>
    <w:p w:rsidR="004165EC" w:rsidRDefault="00C97C8E">
      <w:pPr>
        <w:ind w:firstLineChars="200" w:firstLine="420"/>
      </w:pPr>
      <w:r>
        <w:t>平滑前</w:t>
      </w:r>
      <w:r>
        <w:rPr>
          <w:rFonts w:hint="eastAsia"/>
        </w:rPr>
        <w:t>：</w:t>
      </w:r>
    </w:p>
    <w:p w:rsidR="004165EC" w:rsidRDefault="00C97C8E">
      <w:pPr>
        <w:ind w:firstLineChars="200" w:firstLine="420"/>
      </w:pPr>
      <w:r>
        <w:pict>
          <v:shape id="图片 6" o:spid="_x0000_s1047" type="#_x0000_t75" style="position:absolute;left:0;text-align:left;margin-left:111pt;margin-top:139.5pt;width:415.3pt;height:200.35pt;z-index:44;mso-position-horizontal-relative:page;mso-position-vertical-relative:page">
            <v:imagedata r:id="rId42" o:title=""/>
            <w10:wrap anchorx="page" anchory="page"/>
          </v:shape>
        </w:pict>
      </w: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Pr>
        <w:ind w:firstLineChars="200" w:firstLine="420"/>
      </w:pPr>
    </w:p>
    <w:p w:rsidR="004165EC" w:rsidRDefault="004165EC"/>
    <w:p w:rsidR="004165EC" w:rsidRDefault="00C97C8E">
      <w:r>
        <w:rPr>
          <w:rFonts w:hint="eastAsia"/>
        </w:rPr>
        <w:t>平滑后：</w:t>
      </w:r>
    </w:p>
    <w:p w:rsidR="004165EC" w:rsidRDefault="00C97C8E">
      <w:r>
        <w:pict>
          <v:shape id="图片 7" o:spid="_x0000_s1048" type="#_x0000_t75" style="position:absolute;left:0;text-align:left;margin-left:111pt;margin-top:373.5pt;width:415.3pt;height:202.75pt;z-index:45;mso-position-horizontal-relative:page;mso-position-vertical-relative:page">
            <v:imagedata r:id="rId43" o:title=""/>
            <w10:wrap anchorx="page" anchory="page"/>
          </v:shape>
        </w:pict>
      </w:r>
    </w:p>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4165EC"/>
    <w:p w:rsidR="004165EC" w:rsidRDefault="00C97C8E">
      <w:r>
        <w:rPr>
          <w:rFonts w:hint="eastAsia"/>
        </w:rPr>
        <w:t xml:space="preserve">    </w:t>
      </w:r>
      <w:r>
        <w:rPr>
          <w:rFonts w:hint="eastAsia"/>
        </w:rPr>
        <w:t>计算得</w:t>
      </w:r>
      <w:r>
        <w:t>K</w:t>
      </w:r>
      <w:r>
        <w:rPr>
          <w:rFonts w:hint="eastAsia"/>
        </w:rPr>
        <w:t>=</w:t>
      </w:r>
      <w:r>
        <w:t>3.1163</w:t>
      </w:r>
      <w:r>
        <w:rPr>
          <w:rFonts w:hint="eastAsia"/>
        </w:rPr>
        <w:t>，按判别方法判为上升趋势，只管也是如此。</w:t>
      </w:r>
    </w:p>
    <w:p w:rsidR="004165EC" w:rsidRDefault="00C97C8E">
      <w:pPr>
        <w:spacing w:line="360" w:lineRule="auto"/>
        <w:rPr>
          <w:rFonts w:ascii="宋体" w:hAnsi="宋体" w:cs="宋体"/>
          <w:szCs w:val="21"/>
        </w:rPr>
      </w:pPr>
      <w:r>
        <w:rPr>
          <w:rFonts w:ascii="宋体" w:hAnsi="宋体" w:cs="宋体" w:hint="eastAsia"/>
          <w:szCs w:val="21"/>
        </w:rPr>
        <w:t>考虑到我们能够获取到的数据范围有限，对于第二个方法，五分钟数据只有2013年11月至今，样本量太小，无法实现分析，而如果选用日线数据，误差很大，所以，对于固定窗口期我们目前选用第一种方法来进行趋势识别，如果能解决数据量不足的问题，可以考虑两种联合识别。</w:t>
      </w:r>
    </w:p>
    <w:p w:rsidR="004165EC" w:rsidRDefault="00C97C8E">
      <w:pPr>
        <w:spacing w:line="360" w:lineRule="auto"/>
        <w:rPr>
          <w:rFonts w:ascii="宋体" w:hAnsi="宋体" w:cs="宋体"/>
          <w:b/>
          <w:bCs/>
          <w:sz w:val="24"/>
          <w:szCs w:val="24"/>
        </w:rPr>
      </w:pPr>
      <w:r>
        <w:rPr>
          <w:rFonts w:ascii="宋体" w:hAnsi="宋体" w:cs="宋体" w:hint="eastAsia"/>
          <w:b/>
          <w:bCs/>
          <w:sz w:val="24"/>
          <w:szCs w:val="24"/>
        </w:rPr>
        <w:t>3.3影响期货价格走势的潜在宏观经济指标</w:t>
      </w:r>
    </w:p>
    <w:p w:rsidR="004165EC" w:rsidRDefault="00C97C8E">
      <w:pPr>
        <w:spacing w:line="360" w:lineRule="auto"/>
        <w:ind w:firstLineChars="200" w:firstLine="420"/>
        <w:rPr>
          <w:rFonts w:ascii="宋体" w:hAnsi="宋体" w:cs="宋体"/>
          <w:szCs w:val="21"/>
        </w:rPr>
      </w:pPr>
      <w:r>
        <w:rPr>
          <w:rFonts w:ascii="宋体" w:hAnsi="宋体" w:cs="宋体" w:hint="eastAsia"/>
          <w:szCs w:val="21"/>
        </w:rPr>
        <w:t>宏观经济运行状况对金融证券期货市场的价格行为有着重要的影响。在多因素资产定价模型中，任何影响未来投资机会或消费水平的经济变量都应予以体现。宏观经济发展状况对</w:t>
      </w:r>
      <w:r>
        <w:rPr>
          <w:rFonts w:ascii="宋体" w:hAnsi="宋体" w:cs="宋体" w:hint="eastAsia"/>
          <w:szCs w:val="21"/>
        </w:rPr>
        <w:lastRenderedPageBreak/>
        <w:t>投资者判断产品需求格局、未来现金流和调整后的风险贴现率有直接或间接的影响。因此，宏观经济信息对金融市场的价格行为应有直接的作用。国民生产总值、国内生产总值、国民收入、消费品价格指数、生产品价格指数、航运指数、货运指数、采购经理人指数、贸易余额、失业率，以及货币供给、利率和新房开工率等指标，从不同方面反映了一国宏观经济的运行情况，因而对金融市场的价格行为会产生不同的影响。</w:t>
      </w:r>
    </w:p>
    <w:p w:rsidR="004165EC" w:rsidRDefault="00C97C8E">
      <w:pPr>
        <w:spacing w:line="360" w:lineRule="auto"/>
        <w:ind w:firstLineChars="200" w:firstLine="420"/>
        <w:rPr>
          <w:rFonts w:ascii="宋体" w:hAnsi="宋体"/>
        </w:rPr>
      </w:pPr>
      <w:r>
        <w:rPr>
          <w:rFonts w:ascii="宋体" w:hAnsi="宋体" w:hint="eastAsia"/>
        </w:rPr>
        <w:t>宏观经济形势对期货价格的影响主要通过以下几个渠道表现出来：首先，当</w:t>
      </w:r>
      <w:r>
        <w:rPr>
          <w:rFonts w:ascii="Times New Roman" w:eastAsia="Times New Roman" w:hAnsi="Times New Roman"/>
        </w:rPr>
        <w:t xml:space="preserve">GDP </w:t>
      </w:r>
      <w:r>
        <w:rPr>
          <w:rFonts w:ascii="宋体" w:hAnsi="宋体" w:hint="eastAsia"/>
        </w:rPr>
        <w:t>增速加快时，投资者对后期的经济形势充满信心，投资者就会以多头持仓为主；反之，投资者对后市普遍看淡的时候，则会选择平仓或卖空，从而导致市场抛压加大，使得期货价格走低。其次，当经济增速开始进入回升期时，投资增速也会加快、居民消费额就会不断上升、外贸出口也会增加，在它们带动下，商品需求量会不断扩大、现货供应压力会逐步减轻，期货价格会稳步上扬；反之，期货价格则可能步步走低。第三，随着宏观经济形势变化，国家的宏观调控政策也会随之调整。当经济增速加速初期，央行一般采取宽松的货币政策，充足的流动性会减轻现货压力，从而对期货价格产生利多影响。而当经济增速过快、</w:t>
      </w:r>
      <w:r>
        <w:rPr>
          <w:rFonts w:ascii="Times New Roman" w:eastAsia="Times New Roman" w:hAnsi="Times New Roman"/>
        </w:rPr>
        <w:t xml:space="preserve">CPI </w:t>
      </w:r>
      <w:r>
        <w:rPr>
          <w:rFonts w:ascii="宋体" w:hAnsi="宋体" w:hint="eastAsia"/>
        </w:rPr>
        <w:t>失控、经济出现过热苗头时，央行则会采取紧缩的货币政策，随着市场上流动性减少，现货压力会逐步加大，期货价格就会冲高回落。</w:t>
      </w:r>
    </w:p>
    <w:p w:rsidR="004165EC" w:rsidRDefault="00C97C8E">
      <w:pPr>
        <w:spacing w:line="360" w:lineRule="auto"/>
        <w:ind w:firstLineChars="200" w:firstLine="420"/>
        <w:jc w:val="left"/>
        <w:rPr>
          <w:rFonts w:ascii="宋体" w:hAnsi="宋体"/>
        </w:rPr>
      </w:pPr>
      <w:r>
        <w:rPr>
          <w:rFonts w:ascii="宋体" w:hAnsi="宋体" w:hint="eastAsia"/>
        </w:rPr>
        <w:t>为寻找影响期货价格走势的潜在宏观指标，这里我们选取反映货币供应、通货膨胀、国内和国际经济景气程度的诸多宏观经济指标（注：一些前期选取的指标中，相关性表现不好的指标没有将结果展示。），用南华商品指数（NH）表示大宗商品价格水平，并以月度收盘价代表指数的变化情况。</w:t>
      </w:r>
    </w:p>
    <w:p w:rsidR="004165EC" w:rsidRDefault="00C97C8E">
      <w:pPr>
        <w:spacing w:line="360" w:lineRule="auto"/>
        <w:jc w:val="left"/>
        <w:rPr>
          <w:rFonts w:ascii="宋体" w:hAnsi="宋体"/>
          <w:b/>
          <w:bCs/>
        </w:rPr>
      </w:pPr>
      <w:r>
        <w:rPr>
          <w:rFonts w:ascii="宋体" w:hAnsi="宋体" w:hint="eastAsia"/>
          <w:b/>
          <w:bCs/>
        </w:rPr>
        <w:t>3.2.1相关性分析</w:t>
      </w:r>
    </w:p>
    <w:p w:rsidR="004165EC" w:rsidRDefault="00C97C8E">
      <w:pPr>
        <w:spacing w:line="360" w:lineRule="auto"/>
        <w:ind w:firstLineChars="200" w:firstLine="420"/>
      </w:pPr>
      <w:r>
        <w:rPr>
          <w:rFonts w:ascii="宋体" w:hAnsi="宋体" w:hint="eastAsia"/>
        </w:rPr>
        <w:t>相关性分析是指对两个或多个具备相关性的变量元素进行分析，从而衡量两个变量因素的相关密切程度。相关性的元素之间需要存在一定的联系或者概率才可以进行相关性分析。相关性不等于因果性，也不是简单的个性化。这里采用简单的相关分析，通过计算P</w:t>
      </w:r>
      <w:r>
        <w:rPr>
          <w:rFonts w:hint="eastAsia"/>
        </w:rPr>
        <w:t>earson</w:t>
      </w:r>
      <w:r>
        <w:rPr>
          <w:rFonts w:hint="eastAsia"/>
        </w:rPr>
        <w:t>相关系数</w:t>
      </w:r>
      <w:r>
        <w:rPr>
          <w:rFonts w:hint="eastAsia"/>
        </w:rPr>
        <w:t>r</w:t>
      </w:r>
      <w:r>
        <w:rPr>
          <w:rFonts w:hint="eastAsia"/>
        </w:rPr>
        <w:t>来衡量宏观经济指标与南华商品价格指数的相关度。</w:t>
      </w:r>
    </w:p>
    <w:p w:rsidR="004165EC" w:rsidRDefault="00C97C8E">
      <w:pPr>
        <w:spacing w:line="360" w:lineRule="auto"/>
        <w:ind w:firstLineChars="200" w:firstLine="420"/>
      </w:pPr>
      <w:r>
        <w:rPr>
          <w:rFonts w:ascii="宋体" w:hAnsi="宋体" w:hint="eastAsia"/>
        </w:rPr>
        <w:t>P</w:t>
      </w:r>
      <w:r>
        <w:rPr>
          <w:rFonts w:hint="eastAsia"/>
        </w:rPr>
        <w:t>earson</w:t>
      </w:r>
      <w:r>
        <w:rPr>
          <w:rFonts w:hint="eastAsia"/>
        </w:rPr>
        <w:t>相关系数：</w:t>
      </w:r>
    </w:p>
    <w:p w:rsidR="004165EC" w:rsidRDefault="00C97C8E">
      <w:pPr>
        <w:spacing w:line="360" w:lineRule="auto"/>
      </w:pPr>
      <w:r>
        <w:rPr>
          <w:rFonts w:hint="eastAsia"/>
        </w:rPr>
        <w:t xml:space="preserve">    </w:t>
      </w:r>
      <w:r>
        <w:rPr>
          <w:rFonts w:hint="eastAsia"/>
          <w:position w:val="-38"/>
        </w:rPr>
        <w:object w:dxaOrig="3519" w:dyaOrig="840">
          <v:shape id="图片 22" o:spid="_x0000_i1042" type="#_x0000_t75" style="width:176.25pt;height:42pt" o:ole="">
            <v:imagedata r:id="rId44" o:title=""/>
          </v:shape>
          <o:OLEObject Type="Embed" ProgID="Equation.3" ShapeID="图片 22" DrawAspect="Content" ObjectID="_1480851524" r:id="rId45"/>
        </w:object>
      </w:r>
    </w:p>
    <w:p w:rsidR="004165EC" w:rsidRDefault="004165EC">
      <w:pPr>
        <w:spacing w:line="360" w:lineRule="auto"/>
      </w:pPr>
    </w:p>
    <w:p w:rsidR="004165EC" w:rsidRDefault="00C97C8E">
      <w:pPr>
        <w:spacing w:line="360" w:lineRule="auto"/>
        <w:ind w:firstLineChars="200" w:firstLine="420"/>
      </w:pPr>
      <w:r>
        <w:rPr>
          <w:rFonts w:hint="eastAsia"/>
        </w:rPr>
        <w:t>对于</w:t>
      </w:r>
      <w:r>
        <w:rPr>
          <w:rFonts w:hint="eastAsia"/>
        </w:rPr>
        <w:t>r</w:t>
      </w:r>
      <w:r>
        <w:rPr>
          <w:rFonts w:hint="eastAsia"/>
        </w:rPr>
        <w:t>的解释如下（即</w:t>
      </w:r>
      <w:r>
        <w:rPr>
          <w:rFonts w:hint="eastAsia"/>
        </w:rPr>
        <w:t>r</w:t>
      </w:r>
      <w:r>
        <w:rPr>
          <w:rFonts w:hint="eastAsia"/>
        </w:rPr>
        <w:t>的特点）</w:t>
      </w:r>
    </w:p>
    <w:p w:rsidR="004165EC" w:rsidRDefault="00C97C8E">
      <w:pPr>
        <w:numPr>
          <w:ilvl w:val="0"/>
          <w:numId w:val="4"/>
        </w:numPr>
        <w:spacing w:line="360" w:lineRule="auto"/>
        <w:ind w:firstLineChars="200" w:firstLine="420"/>
      </w:pPr>
      <w:r>
        <w:rPr>
          <w:rFonts w:hint="eastAsia"/>
        </w:rPr>
        <w:t>r</w:t>
      </w:r>
      <w:r>
        <w:rPr>
          <w:rFonts w:hint="eastAsia"/>
        </w:rPr>
        <w:t>的取值正负取决于分子协方差；</w:t>
      </w:r>
    </w:p>
    <w:p w:rsidR="004165EC" w:rsidRDefault="00C97C8E">
      <w:pPr>
        <w:numPr>
          <w:ilvl w:val="0"/>
          <w:numId w:val="4"/>
        </w:numPr>
        <w:spacing w:line="360" w:lineRule="auto"/>
        <w:ind w:firstLineChars="200" w:firstLine="420"/>
      </w:pPr>
      <w:r>
        <w:rPr>
          <w:rFonts w:hint="eastAsia"/>
        </w:rPr>
        <w:lastRenderedPageBreak/>
        <w:t>R</w:t>
      </w:r>
      <w:r>
        <w:rPr>
          <w:rFonts w:hint="eastAsia"/>
        </w:rPr>
        <w:t>的绝对值在</w:t>
      </w:r>
      <w:r>
        <w:rPr>
          <w:rFonts w:hint="eastAsia"/>
        </w:rPr>
        <w:t>0</w:t>
      </w:r>
      <w:r>
        <w:rPr>
          <w:rFonts w:hint="eastAsia"/>
        </w:rPr>
        <w:t>和</w:t>
      </w:r>
      <w:r>
        <w:rPr>
          <w:rFonts w:hint="eastAsia"/>
        </w:rPr>
        <w:t>1</w:t>
      </w:r>
      <w:r>
        <w:rPr>
          <w:rFonts w:hint="eastAsia"/>
        </w:rPr>
        <w:t>之间；</w:t>
      </w:r>
    </w:p>
    <w:p w:rsidR="004165EC" w:rsidRDefault="00C97C8E">
      <w:pPr>
        <w:numPr>
          <w:ilvl w:val="0"/>
          <w:numId w:val="4"/>
        </w:numPr>
        <w:spacing w:line="360" w:lineRule="auto"/>
        <w:ind w:firstLineChars="200" w:firstLine="420"/>
      </w:pPr>
      <w:r>
        <w:rPr>
          <w:rFonts w:hint="eastAsia"/>
        </w:rPr>
        <w:t>R</w:t>
      </w:r>
      <w:r>
        <w:rPr>
          <w:rFonts w:hint="eastAsia"/>
        </w:rPr>
        <w:t>的绝对值大小可以说明现象之间相关关系的紧密度。</w:t>
      </w:r>
    </w:p>
    <w:p w:rsidR="004165EC" w:rsidRDefault="00C97C8E">
      <w:pPr>
        <w:spacing w:line="360" w:lineRule="auto"/>
        <w:ind w:firstLineChars="200" w:firstLine="420"/>
      </w:pPr>
      <w:r>
        <w:rPr>
          <w:rFonts w:hint="eastAsia"/>
        </w:rPr>
        <w:t>一般标准如下：</w:t>
      </w:r>
    </w:p>
    <w:p w:rsidR="004165EC" w:rsidRDefault="00C97C8E">
      <w:pPr>
        <w:spacing w:line="360" w:lineRule="auto"/>
        <w:ind w:firstLineChars="200" w:firstLine="420"/>
      </w:pPr>
      <w:r>
        <w:rPr>
          <w:rFonts w:hint="eastAsia"/>
          <w:position w:val="-84"/>
        </w:rPr>
        <w:object w:dxaOrig="3519" w:dyaOrig="1820">
          <v:shape id="图片 17" o:spid="_x0000_i1043" type="#_x0000_t75" style="width:176.25pt;height:90.75pt" o:ole="">
            <v:imagedata r:id="rId46" o:title=""/>
          </v:shape>
          <o:OLEObject Type="Embed" ProgID="Equation.3" ShapeID="图片 17" DrawAspect="Content" ObjectID="_1480851525" r:id="rId47"/>
        </w:object>
      </w:r>
    </w:p>
    <w:p w:rsidR="004165EC" w:rsidRDefault="00C97C8E">
      <w:pPr>
        <w:spacing w:line="360" w:lineRule="auto"/>
        <w:ind w:firstLineChars="200" w:firstLine="420"/>
        <w:rPr>
          <w:rFonts w:ascii="宋体" w:hAnsi="宋体" w:cs="宋体"/>
        </w:rPr>
      </w:pPr>
      <w:r>
        <w:rPr>
          <w:rFonts w:ascii="宋体" w:hAnsi="宋体" w:cs="宋体" w:hint="eastAsia"/>
        </w:rPr>
        <w:t>宏观指标数据选取2005年1月至2014年10月的月度数据，南华商品期货指数选取月度收盘价（数据来源：万德数据库）。利用SPSS软件实现相关分析，结果如下：</w:t>
      </w:r>
    </w:p>
    <w:tbl>
      <w:tblPr>
        <w:tblW w:w="8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62"/>
        <w:gridCol w:w="90"/>
        <w:gridCol w:w="481"/>
        <w:gridCol w:w="993"/>
        <w:gridCol w:w="637"/>
        <w:gridCol w:w="637"/>
        <w:gridCol w:w="637"/>
        <w:gridCol w:w="637"/>
        <w:gridCol w:w="637"/>
        <w:gridCol w:w="637"/>
        <w:gridCol w:w="637"/>
        <w:gridCol w:w="637"/>
        <w:gridCol w:w="637"/>
        <w:gridCol w:w="547"/>
        <w:gridCol w:w="90"/>
      </w:tblGrid>
      <w:tr w:rsidR="004165EC">
        <w:trPr>
          <w:gridAfter w:val="1"/>
          <w:wAfter w:w="90" w:type="dxa"/>
          <w:cantSplit/>
        </w:trPr>
        <w:tc>
          <w:tcPr>
            <w:tcW w:w="8306" w:type="dxa"/>
            <w:gridSpan w:val="14"/>
            <w:tcBorders>
              <w:top w:val="nil"/>
              <w:left w:val="nil"/>
              <w:bottom w:val="nil"/>
              <w:right w:val="nil"/>
            </w:tcBorders>
            <w:shd w:val="clear" w:color="auto" w:fill="FFFFFF"/>
            <w:vAlign w:val="center"/>
          </w:tcPr>
          <w:p w:rsidR="004165EC" w:rsidRDefault="00C97C8E">
            <w:pPr>
              <w:spacing w:line="320" w:lineRule="atLeast"/>
              <w:ind w:left="60" w:right="60"/>
              <w:jc w:val="center"/>
              <w:rPr>
                <w:sz w:val="18"/>
              </w:rPr>
            </w:pPr>
            <w:r>
              <w:rPr>
                <w:rFonts w:hint="eastAsia"/>
                <w:sz w:val="18"/>
              </w:rPr>
              <w:t>相关系数</w:t>
            </w:r>
          </w:p>
        </w:tc>
      </w:tr>
      <w:tr w:rsidR="004165EC">
        <w:trPr>
          <w:gridBefore w:val="1"/>
          <w:wBefore w:w="462" w:type="dxa"/>
          <w:cantSplit/>
        </w:trPr>
        <w:tc>
          <w:tcPr>
            <w:tcW w:w="1564" w:type="dxa"/>
            <w:gridSpan w:val="3"/>
            <w:tcBorders>
              <w:top w:val="single" w:sz="16" w:space="0" w:color="000000"/>
              <w:left w:val="single" w:sz="16" w:space="0" w:color="000000"/>
              <w:bottom w:val="single" w:sz="16" w:space="0" w:color="000000"/>
              <w:right w:val="nil"/>
            </w:tcBorders>
            <w:shd w:val="clear" w:color="auto" w:fill="FFFFFF"/>
            <w:vAlign w:val="bottom"/>
          </w:tcPr>
          <w:p w:rsidR="004165EC" w:rsidRDefault="004165EC">
            <w:pPr>
              <w:spacing w:line="320" w:lineRule="atLeast"/>
              <w:ind w:left="60" w:right="60"/>
              <w:rPr>
                <w:sz w:val="18"/>
              </w:rPr>
            </w:pPr>
          </w:p>
        </w:tc>
        <w:tc>
          <w:tcPr>
            <w:tcW w:w="637" w:type="dxa"/>
            <w:tcBorders>
              <w:top w:val="single" w:sz="16" w:space="0" w:color="000000"/>
              <w:left w:val="single" w:sz="16"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cpi</w:t>
            </w:r>
          </w:p>
        </w:tc>
        <w:tc>
          <w:tcPr>
            <w:tcW w:w="637"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hjj</w:t>
            </w:r>
          </w:p>
        </w:tc>
        <w:tc>
          <w:tcPr>
            <w:tcW w:w="637"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dollar</w:t>
            </w:r>
          </w:p>
        </w:tc>
        <w:tc>
          <w:tcPr>
            <w:tcW w:w="637"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m2</w:t>
            </w:r>
          </w:p>
        </w:tc>
        <w:tc>
          <w:tcPr>
            <w:tcW w:w="637"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ppi</w:t>
            </w:r>
          </w:p>
        </w:tc>
        <w:tc>
          <w:tcPr>
            <w:tcW w:w="637"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rpi</w:t>
            </w:r>
          </w:p>
        </w:tc>
        <w:tc>
          <w:tcPr>
            <w:tcW w:w="637"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ep</w:t>
            </w:r>
          </w:p>
        </w:tc>
        <w:tc>
          <w:tcPr>
            <w:tcW w:w="637"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tc</w:t>
            </w:r>
          </w:p>
        </w:tc>
        <w:tc>
          <w:tcPr>
            <w:tcW w:w="637" w:type="dxa"/>
            <w:tcBorders>
              <w:top w:val="single" w:sz="16" w:space="0" w:color="000000"/>
              <w:left w:val="single" w:sz="8" w:space="0" w:color="000000"/>
              <w:bottom w:val="single" w:sz="16" w:space="0" w:color="000000"/>
              <w:right w:val="single" w:sz="8"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c</w:t>
            </w:r>
          </w:p>
        </w:tc>
        <w:tc>
          <w:tcPr>
            <w:tcW w:w="637" w:type="dxa"/>
            <w:gridSpan w:val="2"/>
            <w:tcBorders>
              <w:top w:val="single" w:sz="16" w:space="0" w:color="000000"/>
              <w:left w:val="single" w:sz="8" w:space="0" w:color="000000"/>
              <w:bottom w:val="single" w:sz="16" w:space="0" w:color="000000"/>
              <w:right w:val="single" w:sz="16" w:space="0" w:color="000000"/>
            </w:tcBorders>
            <w:shd w:val="clear" w:color="auto" w:fill="FFFFFF"/>
            <w:vAlign w:val="bottom"/>
          </w:tcPr>
          <w:p w:rsidR="004165EC" w:rsidRDefault="00C97C8E">
            <w:pPr>
              <w:spacing w:line="320" w:lineRule="atLeast"/>
              <w:ind w:left="60" w:right="60"/>
              <w:jc w:val="center"/>
              <w:rPr>
                <w:sz w:val="18"/>
              </w:rPr>
            </w:pPr>
            <w:r>
              <w:rPr>
                <w:rFonts w:hint="eastAsia"/>
                <w:sz w:val="18"/>
              </w:rPr>
              <w:t>NH</w:t>
            </w:r>
          </w:p>
        </w:tc>
      </w:tr>
      <w:tr w:rsidR="004165EC">
        <w:trPr>
          <w:gridBefore w:val="1"/>
          <w:wBefore w:w="462" w:type="dxa"/>
          <w:cantSplit/>
        </w:trPr>
        <w:tc>
          <w:tcPr>
            <w:tcW w:w="90" w:type="dxa"/>
            <w:vMerge w:val="restart"/>
            <w:tcBorders>
              <w:top w:val="single" w:sz="16" w:space="0" w:color="000000"/>
              <w:left w:val="single" w:sz="16" w:space="0" w:color="000000"/>
              <w:bottom w:val="single" w:sz="8" w:space="0" w:color="000000"/>
              <w:right w:val="nil"/>
            </w:tcBorders>
            <w:shd w:val="clear" w:color="auto" w:fill="FFFFFF"/>
          </w:tcPr>
          <w:p w:rsidR="004165EC" w:rsidRDefault="004165EC">
            <w:pPr>
              <w:spacing w:line="320" w:lineRule="atLeast"/>
              <w:ind w:left="60" w:right="60"/>
              <w:rPr>
                <w:sz w:val="18"/>
              </w:rPr>
            </w:pPr>
          </w:p>
        </w:tc>
        <w:tc>
          <w:tcPr>
            <w:tcW w:w="481" w:type="dxa"/>
            <w:vMerge w:val="restart"/>
            <w:tcBorders>
              <w:top w:val="single" w:sz="16" w:space="0" w:color="000000"/>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cpi</w:t>
            </w:r>
          </w:p>
        </w:tc>
        <w:tc>
          <w:tcPr>
            <w:tcW w:w="993" w:type="dxa"/>
            <w:tcBorders>
              <w:top w:val="single" w:sz="16" w:space="0" w:color="000000"/>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single" w:sz="16" w:space="0" w:color="000000"/>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tcBorders>
              <w:top w:val="single" w:sz="16" w:space="0" w:color="000000"/>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-.001</w:t>
            </w:r>
          </w:p>
        </w:tc>
        <w:tc>
          <w:tcPr>
            <w:tcW w:w="637" w:type="dxa"/>
            <w:tcBorders>
              <w:top w:val="single" w:sz="16" w:space="0" w:color="000000"/>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-.497</w:t>
            </w:r>
          </w:p>
        </w:tc>
        <w:tc>
          <w:tcPr>
            <w:tcW w:w="637" w:type="dxa"/>
            <w:tcBorders>
              <w:top w:val="single" w:sz="16" w:space="0" w:color="000000"/>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-.427</w:t>
            </w:r>
          </w:p>
        </w:tc>
        <w:tc>
          <w:tcPr>
            <w:tcW w:w="637" w:type="dxa"/>
            <w:tcBorders>
              <w:top w:val="single" w:sz="16" w:space="0" w:color="000000"/>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.692</w:t>
            </w:r>
          </w:p>
        </w:tc>
        <w:tc>
          <w:tcPr>
            <w:tcW w:w="637" w:type="dxa"/>
            <w:tcBorders>
              <w:top w:val="single" w:sz="16" w:space="0" w:color="000000"/>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.979</w:t>
            </w:r>
          </w:p>
        </w:tc>
        <w:tc>
          <w:tcPr>
            <w:tcW w:w="637" w:type="dxa"/>
            <w:tcBorders>
              <w:top w:val="single" w:sz="16" w:space="0" w:color="000000"/>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.489</w:t>
            </w:r>
          </w:p>
        </w:tc>
        <w:tc>
          <w:tcPr>
            <w:tcW w:w="637" w:type="dxa"/>
            <w:tcBorders>
              <w:top w:val="single" w:sz="16" w:space="0" w:color="000000"/>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.593</w:t>
            </w:r>
          </w:p>
        </w:tc>
        <w:tc>
          <w:tcPr>
            <w:tcW w:w="637" w:type="dxa"/>
            <w:tcBorders>
              <w:top w:val="single" w:sz="16" w:space="0" w:color="000000"/>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.291</w:t>
            </w:r>
          </w:p>
        </w:tc>
        <w:tc>
          <w:tcPr>
            <w:tcW w:w="637" w:type="dxa"/>
            <w:gridSpan w:val="2"/>
            <w:tcBorders>
              <w:top w:val="single" w:sz="16" w:space="0" w:color="000000"/>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color w:val="FF0000"/>
                <w:sz w:val="18"/>
              </w:rPr>
              <w:t>.532</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single" w:sz="16" w:space="0" w:color="000000"/>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.990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.002</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r>
      <w:tr w:rsidR="004165EC">
        <w:trPr>
          <w:gridBefore w:val="1"/>
          <w:wBefore w:w="462" w:type="dxa"/>
          <w:cantSplit/>
          <w:trHeight w:val="293"/>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single" w:sz="16" w:space="0" w:color="000000"/>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Height w:val="90"/>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hjj</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.234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.651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.231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.451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.142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.465</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.339</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.990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.012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.013</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.964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.132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dolla</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-.497</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.234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.266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.019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-.476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.019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-.264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.491</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color w:val="FF0000"/>
                <w:sz w:val="18"/>
              </w:rPr>
              <w:t>-.607</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.012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.842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.843</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.005</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m2</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-.427</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.651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.266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-.258</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-.374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-.122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.170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-.002</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.040</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.198</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.071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.980</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.669</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ppi</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.692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.231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.019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-.258</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.735</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.803</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.514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.556</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.304</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.013</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.842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.001</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Height w:val="345"/>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rpi</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.979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-.476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-.374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.735</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.499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.680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.286</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color w:val="008000"/>
                <w:sz w:val="18"/>
              </w:rPr>
              <w:t>.519</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.964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.002</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ep</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.489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.451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.019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-.122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.803</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.499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.306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.527</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.405</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.843</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.198</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tc</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.593</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.142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-.264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.170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.514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.680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.306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.184</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.319</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.132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.005</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.071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.050</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.001</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c</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.291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.465</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.491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.556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.286</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.527</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.184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-.060</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.980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.050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.529</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val="restart"/>
            <w:tcBorders>
              <w:top w:val="nil"/>
              <w:left w:val="nil"/>
              <w:bottom w:val="single" w:sz="8" w:space="0" w:color="000000"/>
              <w:right w:val="nil"/>
            </w:tcBorders>
            <w:shd w:val="clear" w:color="auto" w:fill="FFFFFF"/>
          </w:tcPr>
          <w:p w:rsidR="004165EC" w:rsidRDefault="00C97C8E">
            <w:pPr>
              <w:spacing w:line="320" w:lineRule="atLeast"/>
              <w:ind w:left="60" w:right="60"/>
              <w:rPr>
                <w:sz w:val="18"/>
              </w:rPr>
            </w:pPr>
            <w:r>
              <w:rPr>
                <w:rFonts w:hint="eastAsia"/>
                <w:sz w:val="18"/>
              </w:rPr>
              <w:t>NH</w:t>
            </w:r>
          </w:p>
        </w:tc>
        <w:tc>
          <w:tcPr>
            <w:tcW w:w="993" w:type="dxa"/>
            <w:tcBorders>
              <w:top w:val="nil"/>
              <w:left w:val="nil"/>
              <w:bottom w:val="nil"/>
              <w:right w:val="single" w:sz="16" w:space="0" w:color="000000"/>
            </w:tcBorders>
            <w:shd w:val="clear" w:color="auto" w:fill="FFFFFF"/>
          </w:tcPr>
          <w:p w:rsidR="004165EC" w:rsidRDefault="00C97C8E">
            <w:pPr>
              <w:spacing w:line="360" w:lineRule="auto"/>
              <w:ind w:left="60" w:right="60"/>
              <w:rPr>
                <w:sz w:val="18"/>
              </w:rPr>
            </w:pPr>
            <w:r>
              <w:rPr>
                <w:rFonts w:hint="eastAsia"/>
                <w:sz w:val="18"/>
              </w:rPr>
              <w:t>相关</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.532</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.339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-.607</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.040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.304</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.519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.405</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.319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-.060</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1.000</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nil"/>
              <w:right w:val="single" w:sz="16" w:space="0" w:color="000000"/>
            </w:tcBorders>
            <w:shd w:val="clear" w:color="auto" w:fill="FFFFFF"/>
          </w:tcPr>
          <w:p w:rsidR="004165EC" w:rsidRDefault="00C97C8E">
            <w:pPr>
              <w:spacing w:line="360" w:lineRule="auto"/>
              <w:ind w:right="60"/>
              <w:rPr>
                <w:sz w:val="18"/>
              </w:rPr>
            </w:pPr>
            <w:r>
              <w:rPr>
                <w:rFonts w:hint="eastAsia"/>
                <w:sz w:val="18"/>
              </w:rPr>
              <w:t>显著性</w:t>
            </w:r>
          </w:p>
        </w:tc>
        <w:tc>
          <w:tcPr>
            <w:tcW w:w="637" w:type="dxa"/>
            <w:tcBorders>
              <w:top w:val="nil"/>
              <w:left w:val="single" w:sz="16"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.669</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.000</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.001</w:t>
            </w:r>
          </w:p>
        </w:tc>
        <w:tc>
          <w:tcPr>
            <w:tcW w:w="637" w:type="dxa"/>
            <w:tcBorders>
              <w:top w:val="nil"/>
              <w:left w:val="single" w:sz="8" w:space="0" w:color="000000"/>
              <w:bottom w:val="nil"/>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.529</w:t>
            </w:r>
          </w:p>
        </w:tc>
        <w:tc>
          <w:tcPr>
            <w:tcW w:w="637" w:type="dxa"/>
            <w:gridSpan w:val="2"/>
            <w:tcBorders>
              <w:top w:val="nil"/>
              <w:left w:val="single" w:sz="8" w:space="0" w:color="000000"/>
              <w:bottom w:val="nil"/>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w:t>
            </w:r>
          </w:p>
        </w:tc>
      </w:tr>
      <w:tr w:rsidR="004165EC">
        <w:trPr>
          <w:gridBefore w:val="1"/>
          <w:wBefore w:w="462" w:type="dxa"/>
          <w:cantSplit/>
        </w:trPr>
        <w:tc>
          <w:tcPr>
            <w:tcW w:w="90" w:type="dxa"/>
            <w:vMerge/>
            <w:tcBorders>
              <w:top w:val="single" w:sz="16" w:space="0" w:color="000000"/>
              <w:left w:val="single" w:sz="16" w:space="0" w:color="000000"/>
              <w:bottom w:val="single" w:sz="8" w:space="0" w:color="000000"/>
              <w:right w:val="nil"/>
            </w:tcBorders>
            <w:shd w:val="clear" w:color="auto" w:fill="FFFFFF"/>
          </w:tcPr>
          <w:p w:rsidR="004165EC" w:rsidRDefault="004165EC">
            <w:pPr>
              <w:rPr>
                <w:sz w:val="18"/>
              </w:rPr>
            </w:pPr>
          </w:p>
        </w:tc>
        <w:tc>
          <w:tcPr>
            <w:tcW w:w="481" w:type="dxa"/>
            <w:vMerge/>
            <w:tcBorders>
              <w:top w:val="nil"/>
              <w:left w:val="nil"/>
              <w:bottom w:val="single" w:sz="8" w:space="0" w:color="000000"/>
              <w:right w:val="nil"/>
            </w:tcBorders>
            <w:shd w:val="clear" w:color="auto" w:fill="FFFFFF"/>
          </w:tcPr>
          <w:p w:rsidR="004165EC" w:rsidRDefault="004165EC">
            <w:pPr>
              <w:rPr>
                <w:sz w:val="18"/>
              </w:rPr>
            </w:pPr>
          </w:p>
        </w:tc>
        <w:tc>
          <w:tcPr>
            <w:tcW w:w="993" w:type="dxa"/>
            <w:tcBorders>
              <w:top w:val="nil"/>
              <w:left w:val="nil"/>
              <w:bottom w:val="single" w:sz="8" w:space="0" w:color="000000"/>
              <w:right w:val="single" w:sz="16" w:space="0" w:color="000000"/>
            </w:tcBorders>
            <w:shd w:val="clear" w:color="auto" w:fill="FFFFFF"/>
          </w:tcPr>
          <w:p w:rsidR="004165EC" w:rsidRDefault="00C97C8E">
            <w:pPr>
              <w:spacing w:line="360" w:lineRule="auto"/>
              <w:ind w:left="60" w:right="60"/>
              <w:rPr>
                <w:sz w:val="18"/>
              </w:rPr>
            </w:pPr>
            <w:r>
              <w:rPr>
                <w:rFonts w:hint="eastAsia"/>
                <w:sz w:val="18"/>
              </w:rPr>
              <w:t>df</w:t>
            </w:r>
          </w:p>
        </w:tc>
        <w:tc>
          <w:tcPr>
            <w:tcW w:w="637" w:type="dxa"/>
            <w:tcBorders>
              <w:top w:val="nil"/>
              <w:left w:val="single" w:sz="16"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tcBorders>
              <w:top w:val="nil"/>
              <w:left w:val="single" w:sz="8" w:space="0" w:color="000000"/>
              <w:bottom w:val="single" w:sz="8" w:space="0" w:color="000000"/>
              <w:right w:val="single" w:sz="8"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112</w:t>
            </w:r>
          </w:p>
        </w:tc>
        <w:tc>
          <w:tcPr>
            <w:tcW w:w="637" w:type="dxa"/>
            <w:gridSpan w:val="2"/>
            <w:tcBorders>
              <w:top w:val="nil"/>
              <w:left w:val="single" w:sz="8" w:space="0" w:color="000000"/>
              <w:bottom w:val="single" w:sz="8" w:space="0" w:color="000000"/>
              <w:right w:val="single" w:sz="16" w:space="0" w:color="000000"/>
            </w:tcBorders>
            <w:shd w:val="clear" w:color="auto" w:fill="FFFFFF"/>
            <w:vAlign w:val="center"/>
          </w:tcPr>
          <w:p w:rsidR="004165EC" w:rsidRDefault="00C97C8E">
            <w:pPr>
              <w:spacing w:line="320" w:lineRule="atLeast"/>
              <w:ind w:left="60" w:right="60"/>
              <w:jc w:val="right"/>
              <w:rPr>
                <w:sz w:val="18"/>
              </w:rPr>
            </w:pPr>
            <w:r>
              <w:rPr>
                <w:rFonts w:hint="eastAsia"/>
                <w:sz w:val="18"/>
              </w:rPr>
              <w:t>0</w:t>
            </w:r>
          </w:p>
        </w:tc>
      </w:tr>
    </w:tbl>
    <w:p w:rsidR="004165EC" w:rsidRDefault="00C97C8E">
      <w:pPr>
        <w:spacing w:line="360" w:lineRule="auto"/>
      </w:pPr>
      <w:r>
        <w:rPr>
          <w:rFonts w:hint="eastAsia"/>
        </w:rPr>
        <w:t xml:space="preserve">    </w:t>
      </w:r>
      <w:r>
        <w:rPr>
          <w:rFonts w:hint="eastAsia"/>
        </w:rPr>
        <w:t>其中：</w:t>
      </w:r>
    </w:p>
    <w:p w:rsidR="004165EC" w:rsidRDefault="00C97C8E">
      <w:pPr>
        <w:spacing w:line="360" w:lineRule="auto"/>
        <w:ind w:firstLineChars="200" w:firstLine="420"/>
        <w:rPr>
          <w:rFonts w:ascii="宋体" w:hAnsi="宋体" w:cs="宋体"/>
        </w:rPr>
      </w:pPr>
      <w:r>
        <w:rPr>
          <w:rFonts w:ascii="宋体" w:hAnsi="宋体" w:cs="宋体" w:hint="eastAsia"/>
        </w:rPr>
        <w:t>MY：实际美元指数：广义；</w:t>
      </w:r>
    </w:p>
    <w:p w:rsidR="004165EC" w:rsidRDefault="00C97C8E">
      <w:pPr>
        <w:spacing w:line="360" w:lineRule="auto"/>
        <w:ind w:firstLineChars="200" w:firstLine="420"/>
        <w:rPr>
          <w:rFonts w:ascii="宋体" w:hAnsi="宋体" w:cs="宋体"/>
        </w:rPr>
      </w:pPr>
      <w:r>
        <w:rPr>
          <w:rFonts w:ascii="宋体" w:hAnsi="宋体" w:cs="宋体" w:hint="eastAsia"/>
        </w:rPr>
        <w:t>EP：指进出口额；</w:t>
      </w:r>
    </w:p>
    <w:p w:rsidR="004165EC" w:rsidRDefault="00C97C8E">
      <w:pPr>
        <w:spacing w:line="360" w:lineRule="auto"/>
        <w:ind w:firstLineChars="200" w:firstLine="420"/>
        <w:rPr>
          <w:rFonts w:ascii="宋体" w:hAnsi="宋体" w:cs="宋体"/>
        </w:rPr>
      </w:pPr>
      <w:r>
        <w:rPr>
          <w:rFonts w:ascii="宋体" w:hAnsi="宋体" w:cs="宋体" w:hint="eastAsia"/>
        </w:rPr>
        <w:t>TC：指社会消费品零售总额；</w:t>
      </w:r>
    </w:p>
    <w:p w:rsidR="004165EC" w:rsidRDefault="00C97C8E">
      <w:pPr>
        <w:spacing w:line="360" w:lineRule="auto"/>
        <w:ind w:firstLineChars="200" w:firstLine="420"/>
        <w:rPr>
          <w:rFonts w:ascii="宋体" w:hAnsi="宋体" w:cs="宋体"/>
        </w:rPr>
      </w:pPr>
      <w:r>
        <w:rPr>
          <w:rFonts w:ascii="宋体" w:hAnsi="宋体" w:cs="宋体" w:hint="eastAsia"/>
        </w:rPr>
        <w:t>HG：指宏观经济景气指数：先行指数；</w:t>
      </w:r>
    </w:p>
    <w:p w:rsidR="004165EC" w:rsidRDefault="00C97C8E">
      <w:pPr>
        <w:spacing w:line="360" w:lineRule="auto"/>
        <w:rPr>
          <w:rFonts w:ascii="宋体" w:hAnsi="宋体" w:cs="宋体"/>
        </w:rPr>
      </w:pPr>
      <w:r>
        <w:rPr>
          <w:rFonts w:ascii="宋体" w:hAnsi="宋体" w:cs="宋体" w:hint="eastAsia"/>
        </w:rPr>
        <w:t xml:space="preserve">    PPI：工业生产者出厂价格指数</w:t>
      </w:r>
    </w:p>
    <w:p w:rsidR="004165EC" w:rsidRDefault="00C97C8E">
      <w:pPr>
        <w:spacing w:line="360" w:lineRule="auto"/>
        <w:rPr>
          <w:rFonts w:ascii="宋体" w:hAnsi="宋体" w:cs="宋体"/>
        </w:rPr>
      </w:pPr>
      <w:r>
        <w:rPr>
          <w:rFonts w:ascii="宋体" w:hAnsi="宋体" w:cs="宋体" w:hint="eastAsia"/>
        </w:rPr>
        <w:t xml:space="preserve">    CPI：居民消费价格指数</w:t>
      </w:r>
    </w:p>
    <w:p w:rsidR="004165EC" w:rsidRDefault="00C97C8E">
      <w:pPr>
        <w:spacing w:line="360" w:lineRule="auto"/>
        <w:rPr>
          <w:rFonts w:ascii="宋体" w:hAnsi="宋体" w:cs="宋体"/>
        </w:rPr>
      </w:pPr>
      <w:r>
        <w:rPr>
          <w:rFonts w:ascii="宋体" w:hAnsi="宋体" w:cs="宋体" w:hint="eastAsia"/>
        </w:rPr>
        <w:t xml:space="preserve">    RPI：商品零售价格指数</w:t>
      </w:r>
    </w:p>
    <w:p w:rsidR="004165EC" w:rsidRDefault="00C97C8E" w:rsidP="00C97C8E">
      <w:pPr>
        <w:spacing w:line="360" w:lineRule="auto"/>
        <w:ind w:firstLineChars="200" w:firstLine="422"/>
      </w:pPr>
      <w:r>
        <w:rPr>
          <w:rFonts w:hint="eastAsia"/>
          <w:b/>
          <w:bCs/>
        </w:rPr>
        <w:t>结果分析</w:t>
      </w:r>
      <w:r>
        <w:rPr>
          <w:rFonts w:hint="eastAsia"/>
        </w:rPr>
        <w:t>：由上表知南华期货价格指数与</w:t>
      </w:r>
      <w:r>
        <w:rPr>
          <w:rFonts w:hint="eastAsia"/>
        </w:rPr>
        <w:t>CPI,MY,RPI</w:t>
      </w:r>
      <w:r>
        <w:rPr>
          <w:rFonts w:hint="eastAsia"/>
        </w:rPr>
        <w:t>显著相关，与</w:t>
      </w:r>
      <w:r>
        <w:rPr>
          <w:rFonts w:hint="eastAsia"/>
        </w:rPr>
        <w:t>HJJ</w:t>
      </w:r>
      <w:r>
        <w:rPr>
          <w:rFonts w:hint="eastAsia"/>
        </w:rPr>
        <w:t>，</w:t>
      </w:r>
      <w:r>
        <w:rPr>
          <w:rFonts w:hint="eastAsia"/>
        </w:rPr>
        <w:t>PPI</w:t>
      </w:r>
      <w:r>
        <w:rPr>
          <w:rFonts w:hint="eastAsia"/>
        </w:rPr>
        <w:t>，</w:t>
      </w:r>
      <w:r>
        <w:rPr>
          <w:rFonts w:hint="eastAsia"/>
        </w:rPr>
        <w:t>EP</w:t>
      </w:r>
      <w:r>
        <w:rPr>
          <w:rFonts w:hint="eastAsia"/>
        </w:rPr>
        <w:t>低度相关，与其他指标不相关。</w:t>
      </w:r>
    </w:p>
    <w:p w:rsidR="004165EC" w:rsidRDefault="00C97C8E">
      <w:pPr>
        <w:spacing w:line="360" w:lineRule="auto"/>
        <w:rPr>
          <w:b/>
          <w:bCs/>
        </w:rPr>
      </w:pPr>
      <w:r>
        <w:rPr>
          <w:rFonts w:ascii="宋体" w:hAnsi="宋体" w:hint="eastAsia"/>
          <w:b/>
          <w:bCs/>
        </w:rPr>
        <w:t>3.2.2</w:t>
      </w:r>
      <w:r>
        <w:rPr>
          <w:rFonts w:hint="eastAsia"/>
          <w:b/>
          <w:bCs/>
        </w:rPr>
        <w:t>格兰杰因果关系检验</w:t>
      </w:r>
    </w:p>
    <w:p w:rsidR="004165EC" w:rsidRDefault="00C97C8E">
      <w:pPr>
        <w:spacing w:line="360" w:lineRule="auto"/>
        <w:ind w:firstLineChars="200" w:firstLine="420"/>
      </w:pPr>
      <w:r>
        <w:t>在</w:t>
      </w:r>
      <w:hyperlink r:id="rId48" w:tgtFrame="http://baike.sogou.com/_blank" w:history="1">
        <w:r>
          <w:t>时间序列</w:t>
        </w:r>
      </w:hyperlink>
      <w:r>
        <w:t>情形下，两个经济变量</w:t>
      </w:r>
      <w:r>
        <w:t>X</w:t>
      </w:r>
      <w:r>
        <w:t>、</w:t>
      </w:r>
      <w:r>
        <w:t>Y</w:t>
      </w:r>
      <w:r>
        <w:t>之间的</w:t>
      </w:r>
      <w:hyperlink r:id="rId49" w:tgtFrame="http://baike.sogou.com/_blank" w:history="1">
        <w:r>
          <w:t>格兰杰</w:t>
        </w:r>
      </w:hyperlink>
      <w:r>
        <w:t>因果关系定义为：若在包含了变量</w:t>
      </w:r>
      <w:r>
        <w:t>X</w:t>
      </w:r>
      <w:r>
        <w:t>、</w:t>
      </w:r>
      <w:r>
        <w:t>Y</w:t>
      </w:r>
      <w:r>
        <w:t>的过去信息的条件下，对变量</w:t>
      </w:r>
      <w:r>
        <w:t>Y</w:t>
      </w:r>
      <w:r>
        <w:t>的预测效果要优于只单独由</w:t>
      </w:r>
      <w:r>
        <w:t>Y</w:t>
      </w:r>
      <w:r>
        <w:t>的过去信息对</w:t>
      </w:r>
      <w:r>
        <w:t>Y</w:t>
      </w:r>
      <w:r>
        <w:t>进行的预测效果，即变量</w:t>
      </w:r>
      <w:r>
        <w:t>X</w:t>
      </w:r>
      <w:r>
        <w:t>有助于解释变量</w:t>
      </w:r>
      <w:r>
        <w:t>Y</w:t>
      </w:r>
      <w:r>
        <w:t>的将来变化，则认为变量</w:t>
      </w:r>
      <w:r>
        <w:t>X</w:t>
      </w:r>
      <w:r>
        <w:t>是引致变量</w:t>
      </w:r>
      <w:r>
        <w:t>Y</w:t>
      </w:r>
      <w:r>
        <w:t>的</w:t>
      </w:r>
      <w:hyperlink r:id="rId50" w:tgtFrame="http://baike.sogou.com/_blank" w:history="1">
        <w:r>
          <w:t>格兰杰</w:t>
        </w:r>
      </w:hyperlink>
      <w:r>
        <w:t>原因。</w:t>
      </w:r>
    </w:p>
    <w:p w:rsidR="004165EC" w:rsidRDefault="00C97C8E">
      <w:pPr>
        <w:spacing w:line="360" w:lineRule="auto"/>
        <w:ind w:firstLineChars="200" w:firstLine="420"/>
      </w:pPr>
      <w:r>
        <w:lastRenderedPageBreak/>
        <w:t>进行格兰杰因果关系检验的一个前提条件是</w:t>
      </w:r>
      <w:hyperlink r:id="rId51" w:tgtFrame="http://baike.sogou.com/_blank" w:history="1">
        <w:r>
          <w:t>时间序列</w:t>
        </w:r>
      </w:hyperlink>
      <w:r>
        <w:t>必须具有平稳性，否则可能会出现</w:t>
      </w:r>
      <w:proofErr w:type="gramStart"/>
      <w:r>
        <w:t>虚假回归</w:t>
      </w:r>
      <w:proofErr w:type="gramEnd"/>
      <w:r>
        <w:t>问题。因此在进行格兰杰因果关系检验之前首先应对各指标</w:t>
      </w:r>
      <w:hyperlink r:id="rId52" w:tgtFrame="http://baike.sogou.com/_blank" w:history="1">
        <w:r>
          <w:t>时间序列</w:t>
        </w:r>
      </w:hyperlink>
      <w:r>
        <w:t>的平稳性进行</w:t>
      </w:r>
      <w:hyperlink r:id="rId53" w:tgtFrame="http://baike.sogou.com/_blank" w:history="1">
        <w:r>
          <w:t>单位根检验</w:t>
        </w:r>
      </w:hyperlink>
      <w:r>
        <w:t>(unit root test)</w:t>
      </w:r>
      <w:r>
        <w:t>。常用增广的</w:t>
      </w:r>
      <w:proofErr w:type="gramStart"/>
      <w:r>
        <w:t>迪</w:t>
      </w:r>
      <w:proofErr w:type="gramEnd"/>
      <w:r>
        <w:t>基</w:t>
      </w:r>
      <w:r>
        <w:t>—</w:t>
      </w:r>
      <w:r>
        <w:t>富勒检验</w:t>
      </w:r>
      <w:r>
        <w:t>(ADF</w:t>
      </w:r>
      <w:r>
        <w:t>检验</w:t>
      </w:r>
      <w:r>
        <w:t>)</w:t>
      </w:r>
      <w:r>
        <w:t>来分别对各指标序列的平稳性进行</w:t>
      </w:r>
      <w:hyperlink r:id="rId54" w:tgtFrame="http://baike.sogou.com/_blank" w:history="1">
        <w:r>
          <w:t>单位根检验</w:t>
        </w:r>
      </w:hyperlink>
      <w:r>
        <w:t>。</w:t>
      </w:r>
    </w:p>
    <w:p w:rsidR="004165EC" w:rsidRDefault="00C97C8E">
      <w:pPr>
        <w:spacing w:line="360" w:lineRule="auto"/>
        <w:ind w:firstLineChars="200" w:firstLine="420"/>
      </w:pPr>
      <w:r>
        <w:rPr>
          <w:rFonts w:hint="eastAsia"/>
        </w:rPr>
        <w:t>运用</w:t>
      </w:r>
      <w:r>
        <w:rPr>
          <w:rFonts w:hint="eastAsia"/>
        </w:rPr>
        <w:t>eviews</w:t>
      </w:r>
      <w:r>
        <w:rPr>
          <w:rFonts w:hint="eastAsia"/>
        </w:rPr>
        <w:t>进行实证分析（数据来源：万德数据库）。</w:t>
      </w:r>
    </w:p>
    <w:p w:rsidR="004165EC" w:rsidRDefault="00C97C8E">
      <w:pPr>
        <w:spacing w:line="360" w:lineRule="auto"/>
        <w:ind w:firstLineChars="200" w:firstLine="420"/>
      </w:pPr>
      <w:r>
        <w:rPr>
          <w:rFonts w:hint="eastAsia"/>
        </w:rPr>
        <w:t>1.</w:t>
      </w:r>
      <w:r>
        <w:rPr>
          <w:rFonts w:hint="eastAsia"/>
        </w:rPr>
        <w:t>单位根检验：</w:t>
      </w:r>
    </w:p>
    <w:p w:rsidR="004165EC" w:rsidRDefault="00C97C8E">
      <w:pPr>
        <w:spacing w:line="360" w:lineRule="auto"/>
        <w:ind w:firstLineChars="200" w:firstLine="420"/>
      </w:pPr>
      <w:r>
        <w:rPr>
          <w:rFonts w:hint="eastAsia"/>
        </w:rPr>
        <w:t>从运行结果看：若</w:t>
      </w:r>
      <w:r>
        <w:rPr>
          <w:rFonts w:hint="eastAsia"/>
        </w:rPr>
        <w:t>ADF</w:t>
      </w:r>
      <w:r>
        <w:rPr>
          <w:rFonts w:hint="eastAsia"/>
        </w:rPr>
        <w:t>值小于</w:t>
      </w:r>
      <w:r>
        <w:rPr>
          <w:rFonts w:hint="eastAsia"/>
        </w:rPr>
        <w:t>level(1),level(2),level(3).</w:t>
      </w:r>
      <w:r>
        <w:rPr>
          <w:rFonts w:hint="eastAsia"/>
        </w:rPr>
        <w:t>的三个水平条件下的值，则以该序列为一个平稳序列，反之，如果</w:t>
      </w:r>
      <w:r>
        <w:rPr>
          <w:rFonts w:hint="eastAsia"/>
        </w:rPr>
        <w:t>ADF</w:t>
      </w:r>
      <w:r>
        <w:rPr>
          <w:rFonts w:hint="eastAsia"/>
        </w:rPr>
        <w:t>值大于三个水平给定值，那么要对该序列的</w:t>
      </w:r>
      <w:proofErr w:type="gramStart"/>
      <w:r>
        <w:rPr>
          <w:rFonts w:hint="eastAsia"/>
        </w:rPr>
        <w:t>差方项作</w:t>
      </w:r>
      <w:proofErr w:type="gramEnd"/>
      <w:r>
        <w:rPr>
          <w:rFonts w:hint="eastAsia"/>
        </w:rPr>
        <w:t>ADF</w:t>
      </w:r>
      <w:r>
        <w:rPr>
          <w:rFonts w:hint="eastAsia"/>
        </w:rPr>
        <w:t>检验，分别赋予不同滞后周期，直到</w:t>
      </w:r>
      <w:r>
        <w:rPr>
          <w:rFonts w:hint="eastAsia"/>
        </w:rPr>
        <w:t>ADF</w:t>
      </w:r>
      <w:r>
        <w:rPr>
          <w:rFonts w:hint="eastAsia"/>
        </w:rPr>
        <w:t>值小于三个水平的值为止。</w:t>
      </w:r>
    </w:p>
    <w:p w:rsidR="004165EC" w:rsidRDefault="00C97C8E">
      <w:pPr>
        <w:spacing w:line="360" w:lineRule="auto"/>
        <w:rPr>
          <w:rFonts w:ascii="Arial" w:hAnsi="Arial" w:cs="Arial"/>
          <w:kern w:val="0"/>
          <w:szCs w:val="21"/>
        </w:rPr>
      </w:pPr>
      <w:r>
        <w:rPr>
          <w:rFonts w:hint="eastAsia"/>
        </w:rPr>
        <w:t xml:space="preserve"> </w:t>
      </w:r>
      <w:r>
        <w:rPr>
          <w:szCs w:val="21"/>
        </w:rPr>
        <w:t>CPI</w:t>
      </w:r>
      <w:r>
        <w:rPr>
          <w:rFonts w:hint="eastAsia"/>
          <w:szCs w:val="21"/>
        </w:rPr>
        <w:t>：</w:t>
      </w:r>
      <w:r>
        <w:rPr>
          <w:rFonts w:ascii="Arial" w:hAnsi="Arial" w:cs="Arial" w:hint="eastAsia"/>
          <w:kern w:val="0"/>
          <w:szCs w:val="21"/>
        </w:rPr>
        <w:t>一阶平稳</w:t>
      </w:r>
    </w:p>
    <w:tbl>
      <w:tblPr>
        <w:tblW w:w="6532" w:type="dxa"/>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Null Hypothesis: D(CPI) has a unit root</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Exogenous: Constant, Linear Trend</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6532" w:type="dxa"/>
            <w:gridSpan w:val="5"/>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 Length: 11 (Automatic - based on SIC, maxlag=12)</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t-Statistic</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Prob.*</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327" w:type="dxa"/>
            <w:gridSpan w:val="3"/>
            <w:tcBorders>
              <w:top w:val="nil"/>
              <w:left w:val="nil"/>
              <w:bottom w:val="single" w:sz="6" w:space="0" w:color="auto"/>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Augmented Dickey-Fuller test statistic</w:t>
            </w:r>
          </w:p>
        </w:tc>
        <w:tc>
          <w:tcPr>
            <w:tcW w:w="1208"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-4.674597</w:t>
            </w:r>
          </w:p>
        </w:tc>
        <w:tc>
          <w:tcPr>
            <w:tcW w:w="997"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FF0000"/>
                <w:kern w:val="0"/>
                <w:sz w:val="18"/>
                <w:szCs w:val="18"/>
              </w:rPr>
              <w:t> 0.0014</w:t>
            </w:r>
          </w:p>
        </w:tc>
      </w:tr>
      <w:tr w:rsidR="004165EC">
        <w:trPr>
          <w:trHeight w:val="225"/>
        </w:trPr>
        <w:tc>
          <w:tcPr>
            <w:tcW w:w="2017"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Test critical values:</w:t>
            </w: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-4.051450</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-3.454919</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10%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-3.153171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*MacKinnon (1996) one-sided p-values.</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Arial" w:hAnsi="Arial" w:cs="Arial"/>
          <w:kern w:val="0"/>
          <w:sz w:val="18"/>
          <w:szCs w:val="18"/>
        </w:rPr>
      </w:pPr>
      <w:r>
        <w:rPr>
          <w:rFonts w:ascii="宋体" w:hAnsi="宋体" w:cs="宋体" w:hint="eastAsia"/>
          <w:kern w:val="0"/>
          <w:szCs w:val="21"/>
        </w:rPr>
        <w:t>NH ：一阶平稳</w:t>
      </w:r>
    </w:p>
    <w:tbl>
      <w:tblPr>
        <w:tblW w:w="6532" w:type="dxa"/>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Null Hypothesis: D(NH) has a unit root</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Exogenous: Constant, Linear Trend</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6532" w:type="dxa"/>
            <w:gridSpan w:val="5"/>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 Length: 0 (Automatic - based on SIC, maxlag=12)</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t-Statistic</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Prob.*</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327" w:type="dxa"/>
            <w:gridSpan w:val="3"/>
            <w:tcBorders>
              <w:top w:val="nil"/>
              <w:left w:val="nil"/>
              <w:bottom w:val="single" w:sz="6" w:space="0" w:color="auto"/>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Augmented Dickey-Fuller test statistic</w:t>
            </w:r>
          </w:p>
        </w:tc>
        <w:tc>
          <w:tcPr>
            <w:tcW w:w="1208"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-7.514583</w:t>
            </w:r>
          </w:p>
        </w:tc>
        <w:tc>
          <w:tcPr>
            <w:tcW w:w="997"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FF0000"/>
                <w:kern w:val="0"/>
                <w:sz w:val="18"/>
                <w:szCs w:val="18"/>
              </w:rPr>
            </w:pPr>
            <w:r>
              <w:rPr>
                <w:rFonts w:ascii="Arial" w:hAnsi="Arial" w:cs="Arial"/>
                <w:color w:val="FF0000"/>
                <w:kern w:val="0"/>
                <w:sz w:val="18"/>
                <w:szCs w:val="18"/>
              </w:rPr>
              <w:t> 0.0000</w:t>
            </w:r>
          </w:p>
        </w:tc>
      </w:tr>
      <w:tr w:rsidR="004165EC">
        <w:trPr>
          <w:trHeight w:val="225"/>
        </w:trPr>
        <w:tc>
          <w:tcPr>
            <w:tcW w:w="2017"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Test critical values:</w:t>
            </w: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-4.042042</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-3.450436</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10%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-3.150549</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*MacKinnon (1996) one-sided p-values.</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宋体" w:hAnsi="宋体" w:cs="宋体"/>
          <w:kern w:val="0"/>
          <w:szCs w:val="21"/>
        </w:rPr>
      </w:pPr>
      <w:r>
        <w:rPr>
          <w:rFonts w:ascii="宋体" w:hAnsi="宋体" w:cs="宋体" w:hint="eastAsia"/>
          <w:kern w:val="0"/>
          <w:szCs w:val="21"/>
        </w:rPr>
        <w:t>EP：一阶平稳</w:t>
      </w:r>
    </w:p>
    <w:tbl>
      <w:tblPr>
        <w:tblW w:w="6532" w:type="dxa"/>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Null Hypothesis: D(EP) has a unit root</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Exogenous: Constant, Linear Trend</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6532" w:type="dxa"/>
            <w:gridSpan w:val="5"/>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 Length: 0 (Automatic - based on SIC, maxlag=12)</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t-Statistic</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Prob.*</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327" w:type="dxa"/>
            <w:gridSpan w:val="3"/>
            <w:tcBorders>
              <w:top w:val="nil"/>
              <w:left w:val="nil"/>
              <w:bottom w:val="single" w:sz="6" w:space="0" w:color="auto"/>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Augmented Dickey-Fuller test statistic</w:t>
            </w:r>
          </w:p>
        </w:tc>
        <w:tc>
          <w:tcPr>
            <w:tcW w:w="1208"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-16.25035</w:t>
            </w:r>
          </w:p>
        </w:tc>
        <w:tc>
          <w:tcPr>
            <w:tcW w:w="997"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FF0000"/>
                <w:kern w:val="0"/>
                <w:sz w:val="18"/>
                <w:szCs w:val="18"/>
              </w:rPr>
            </w:pPr>
            <w:r>
              <w:rPr>
                <w:rFonts w:ascii="Arial" w:hAnsi="Arial" w:cs="Arial"/>
                <w:color w:val="FF0000"/>
                <w:kern w:val="0"/>
                <w:sz w:val="18"/>
                <w:szCs w:val="18"/>
              </w:rPr>
              <w:t> 0.0000</w:t>
            </w:r>
          </w:p>
        </w:tc>
      </w:tr>
      <w:tr w:rsidR="004165EC">
        <w:trPr>
          <w:trHeight w:val="225"/>
        </w:trPr>
        <w:tc>
          <w:tcPr>
            <w:tcW w:w="2017"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Test critical values:</w:t>
            </w: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-4.042042</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-3.450436</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10%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-3.150549</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*MacKinnon (1996) one-sided p-values.</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autoSpaceDE w:val="0"/>
        <w:autoSpaceDN w:val="0"/>
        <w:adjustRightInd w:val="0"/>
        <w:spacing w:line="360" w:lineRule="auto"/>
        <w:jc w:val="left"/>
        <w:rPr>
          <w:rFonts w:ascii="宋体" w:hAnsi="宋体" w:cs="宋体"/>
          <w:kern w:val="0"/>
          <w:szCs w:val="21"/>
        </w:rPr>
      </w:pPr>
      <w:r>
        <w:rPr>
          <w:rFonts w:ascii="宋体" w:hAnsi="宋体" w:cs="宋体" w:hint="eastAsia"/>
          <w:kern w:val="0"/>
          <w:szCs w:val="21"/>
        </w:rPr>
        <w:t>HG：一阶平稳</w:t>
      </w:r>
    </w:p>
    <w:tbl>
      <w:tblPr>
        <w:tblW w:w="6532" w:type="dxa"/>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Null Hypothesis: D(HG) has a unit root</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Exogenous: Constant, Linear Trend</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6532" w:type="dxa"/>
            <w:gridSpan w:val="5"/>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 Length: 0 (Automatic - based on SIC, maxlag=12)</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t-Statistic</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Prob.*</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327" w:type="dxa"/>
            <w:gridSpan w:val="3"/>
            <w:tcBorders>
              <w:top w:val="nil"/>
              <w:left w:val="nil"/>
              <w:bottom w:val="single" w:sz="6" w:space="0" w:color="auto"/>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Augmented Dickey-Fuller test statistic</w:t>
            </w:r>
          </w:p>
        </w:tc>
        <w:tc>
          <w:tcPr>
            <w:tcW w:w="1208"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-4.938762</w:t>
            </w:r>
          </w:p>
        </w:tc>
        <w:tc>
          <w:tcPr>
            <w:tcW w:w="997"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FF0000"/>
                <w:kern w:val="0"/>
                <w:sz w:val="18"/>
                <w:szCs w:val="18"/>
              </w:rPr>
            </w:pPr>
            <w:r>
              <w:rPr>
                <w:rFonts w:ascii="Arial" w:hAnsi="Arial" w:cs="Arial"/>
                <w:color w:val="FF0000"/>
                <w:kern w:val="0"/>
                <w:sz w:val="18"/>
                <w:szCs w:val="18"/>
              </w:rPr>
              <w:t> 0.0005</w:t>
            </w:r>
          </w:p>
        </w:tc>
      </w:tr>
      <w:tr w:rsidR="004165EC">
        <w:trPr>
          <w:trHeight w:val="225"/>
        </w:trPr>
        <w:tc>
          <w:tcPr>
            <w:tcW w:w="2017"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Test critical values:</w:t>
            </w: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-4.042042</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-3.450436</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10%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-3.150549</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*MacKinnon (1996) one-sided p-values.</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宋体" w:hAnsi="宋体" w:cs="宋体"/>
          <w:kern w:val="0"/>
          <w:szCs w:val="21"/>
        </w:rPr>
      </w:pPr>
      <w:r>
        <w:rPr>
          <w:rFonts w:ascii="宋体" w:hAnsi="宋体" w:cs="宋体" w:hint="eastAsia"/>
          <w:kern w:val="0"/>
          <w:szCs w:val="21"/>
        </w:rPr>
        <w:t>MY :一阶平稳</w:t>
      </w:r>
    </w:p>
    <w:tbl>
      <w:tblPr>
        <w:tblW w:w="6532" w:type="dxa"/>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Null Hypothesis: D(MY) has a unit root</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Exogenous: Constant, Linear Trend</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6532" w:type="dxa"/>
            <w:gridSpan w:val="5"/>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 Length: 1 (Automatic - based on SIC, maxlag=12)</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t-Statistic</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Prob.*</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327" w:type="dxa"/>
            <w:gridSpan w:val="3"/>
            <w:tcBorders>
              <w:top w:val="nil"/>
              <w:left w:val="nil"/>
              <w:bottom w:val="single" w:sz="6" w:space="0" w:color="auto"/>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Augmented Dickey-Fuller test statistic</w:t>
            </w:r>
          </w:p>
        </w:tc>
        <w:tc>
          <w:tcPr>
            <w:tcW w:w="1208"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-7.246173</w:t>
            </w:r>
          </w:p>
        </w:tc>
        <w:tc>
          <w:tcPr>
            <w:tcW w:w="997"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FF0000"/>
                <w:kern w:val="0"/>
                <w:sz w:val="18"/>
                <w:szCs w:val="18"/>
              </w:rPr>
              <w:t> 0.0000</w:t>
            </w:r>
          </w:p>
        </w:tc>
      </w:tr>
      <w:tr w:rsidR="004165EC">
        <w:trPr>
          <w:trHeight w:val="225"/>
        </w:trPr>
        <w:tc>
          <w:tcPr>
            <w:tcW w:w="2017"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Test critical values:</w:t>
            </w: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-4.042819</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-3.450807</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10%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-3.150766</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*MacKinnon (1996) one-sided p-values.</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Arial" w:hAnsi="Arial" w:cs="Arial"/>
          <w:kern w:val="0"/>
          <w:szCs w:val="21"/>
        </w:rPr>
      </w:pPr>
      <w:r>
        <w:rPr>
          <w:rFonts w:ascii="Arial" w:hAnsi="Arial" w:cs="Arial"/>
          <w:kern w:val="0"/>
          <w:szCs w:val="21"/>
        </w:rPr>
        <w:t>PPI</w:t>
      </w:r>
      <w:r>
        <w:rPr>
          <w:rFonts w:ascii="Arial" w:hAnsi="Arial" w:cs="Arial" w:hint="eastAsia"/>
          <w:kern w:val="0"/>
          <w:szCs w:val="21"/>
        </w:rPr>
        <w:t>：一阶平稳</w:t>
      </w:r>
    </w:p>
    <w:tbl>
      <w:tblPr>
        <w:tblW w:w="6532" w:type="dxa"/>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Null Hypothesis: D(PPI) has a unit root</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Exogenous: Constant, Linear Trend</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6532" w:type="dxa"/>
            <w:gridSpan w:val="5"/>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 Length: 1 (Automatic - based on SIC, maxlag=12)</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t-Statistic</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Prob.*</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327" w:type="dxa"/>
            <w:gridSpan w:val="3"/>
            <w:tcBorders>
              <w:top w:val="nil"/>
              <w:left w:val="nil"/>
              <w:bottom w:val="single" w:sz="6" w:space="0" w:color="auto"/>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Augmented Dickey-Fuller test statistic</w:t>
            </w:r>
          </w:p>
        </w:tc>
        <w:tc>
          <w:tcPr>
            <w:tcW w:w="1208"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-4.445341</w:t>
            </w:r>
          </w:p>
        </w:tc>
        <w:tc>
          <w:tcPr>
            <w:tcW w:w="997"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FF0000"/>
                <w:kern w:val="0"/>
                <w:sz w:val="18"/>
                <w:szCs w:val="18"/>
              </w:rPr>
              <w:t> 0.0028</w:t>
            </w:r>
          </w:p>
        </w:tc>
      </w:tr>
      <w:tr w:rsidR="004165EC">
        <w:trPr>
          <w:trHeight w:val="225"/>
        </w:trPr>
        <w:tc>
          <w:tcPr>
            <w:tcW w:w="2017"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Test critical values:</w:t>
            </w: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-4.042819</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-3.450807</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10%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-3.150766</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*MacKinnon (1996) one-sided p-values.</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宋体" w:hAnsi="宋体" w:cs="宋体"/>
          <w:kern w:val="0"/>
          <w:szCs w:val="21"/>
        </w:rPr>
      </w:pPr>
      <w:r>
        <w:rPr>
          <w:rFonts w:ascii="宋体" w:hAnsi="宋体" w:cs="宋体" w:hint="eastAsia"/>
          <w:kern w:val="0"/>
          <w:szCs w:val="21"/>
        </w:rPr>
        <w:t>RPI:一阶平稳</w:t>
      </w:r>
    </w:p>
    <w:tbl>
      <w:tblPr>
        <w:tblW w:w="6532" w:type="dxa"/>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Null Hypothesis: D(RPI) has a unit root</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Exogenous: Constant, Linear Trend</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6532" w:type="dxa"/>
            <w:gridSpan w:val="5"/>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 Length: 11 (Automatic - based on SIC, maxlag=12)</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t-Statistic</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Prob.*</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327" w:type="dxa"/>
            <w:gridSpan w:val="3"/>
            <w:tcBorders>
              <w:top w:val="nil"/>
              <w:left w:val="nil"/>
              <w:bottom w:val="single" w:sz="6" w:space="0" w:color="auto"/>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Augmented Dickey-Fuller test statistic</w:t>
            </w:r>
          </w:p>
        </w:tc>
        <w:tc>
          <w:tcPr>
            <w:tcW w:w="1208"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-5.121226</w:t>
            </w:r>
          </w:p>
        </w:tc>
        <w:tc>
          <w:tcPr>
            <w:tcW w:w="997"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w:t>
            </w:r>
            <w:r>
              <w:rPr>
                <w:rFonts w:ascii="Arial" w:hAnsi="Arial" w:cs="Arial"/>
                <w:color w:val="FF0000"/>
                <w:kern w:val="0"/>
                <w:sz w:val="18"/>
                <w:szCs w:val="18"/>
              </w:rPr>
              <w:t>0.0003</w:t>
            </w:r>
          </w:p>
        </w:tc>
      </w:tr>
      <w:tr w:rsidR="004165EC">
        <w:trPr>
          <w:trHeight w:val="225"/>
        </w:trPr>
        <w:tc>
          <w:tcPr>
            <w:tcW w:w="2017"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Test critical values:</w:t>
            </w: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-4.051450</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-3.454919</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10%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-3.153171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lastRenderedPageBreak/>
              <w:t>*MacKinnon (1996) one-sided p-values.</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宋体" w:hAnsi="宋体" w:cs="宋体"/>
          <w:kern w:val="0"/>
          <w:szCs w:val="21"/>
        </w:rPr>
      </w:pPr>
      <w:r>
        <w:rPr>
          <w:rFonts w:ascii="宋体" w:hAnsi="宋体" w:cs="宋体" w:hint="eastAsia"/>
          <w:kern w:val="0"/>
          <w:szCs w:val="21"/>
        </w:rPr>
        <w:t>TC:一阶平稳</w:t>
      </w:r>
    </w:p>
    <w:tbl>
      <w:tblPr>
        <w:tblW w:w="6532" w:type="dxa"/>
        <w:tblInd w:w="30" w:type="dxa"/>
        <w:tblLayout w:type="fixed"/>
        <w:tblCellMar>
          <w:left w:w="0" w:type="dxa"/>
          <w:right w:w="0" w:type="dxa"/>
        </w:tblCellMar>
        <w:tblLook w:val="04A0" w:firstRow="1" w:lastRow="0" w:firstColumn="1" w:lastColumn="0" w:noHBand="0" w:noVBand="1"/>
      </w:tblPr>
      <w:tblGrid>
        <w:gridCol w:w="2017"/>
        <w:gridCol w:w="1103"/>
        <w:gridCol w:w="1207"/>
        <w:gridCol w:w="1208"/>
        <w:gridCol w:w="997"/>
      </w:tblGrid>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Null Hypothesis: D(TC) has a unit root</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Exogenous: Constant, Linear Trend</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6532" w:type="dxa"/>
            <w:gridSpan w:val="5"/>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 Length: 0 (Automatic - based on SIC, maxlag=12)</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t-Statistic</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Prob.*</w:t>
            </w: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327" w:type="dxa"/>
            <w:gridSpan w:val="3"/>
            <w:tcBorders>
              <w:top w:val="nil"/>
              <w:left w:val="nil"/>
              <w:bottom w:val="single" w:sz="6" w:space="0" w:color="auto"/>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Augmented Dickey-Fuller test statistic</w:t>
            </w:r>
          </w:p>
        </w:tc>
        <w:tc>
          <w:tcPr>
            <w:tcW w:w="1208"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-19.01156</w:t>
            </w:r>
          </w:p>
        </w:tc>
        <w:tc>
          <w:tcPr>
            <w:tcW w:w="997" w:type="dxa"/>
            <w:tcBorders>
              <w:top w:val="nil"/>
              <w:left w:val="nil"/>
              <w:bottom w:val="single" w:sz="6" w:space="0" w:color="auto"/>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FF0000"/>
                <w:kern w:val="0"/>
                <w:sz w:val="18"/>
                <w:szCs w:val="18"/>
              </w:rPr>
              <w:t> 0.0000</w:t>
            </w:r>
          </w:p>
        </w:tc>
      </w:tr>
      <w:tr w:rsidR="004165EC">
        <w:trPr>
          <w:trHeight w:val="225"/>
        </w:trPr>
        <w:tc>
          <w:tcPr>
            <w:tcW w:w="2017"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Test critical values:</w:t>
            </w: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-4.042042</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5%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-3.450436</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10% level</w:t>
            </w: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-3.150549</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201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201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10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120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5535"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*MacKinnon (1996) one-sided p-values.</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pPr>
      <w:r>
        <w:rPr>
          <w:rFonts w:hint="eastAsia"/>
        </w:rPr>
        <w:t xml:space="preserve">    </w:t>
      </w:r>
      <w:r>
        <w:rPr>
          <w:rFonts w:hint="eastAsia"/>
        </w:rPr>
        <w:t>由以上结果可以看出，宏观指标变量和南华商品期货指数时间序列均为一阶平稳序列，下面对这些序列做格兰杰因果检验。</w:t>
      </w:r>
    </w:p>
    <w:p w:rsidR="004165EC" w:rsidRDefault="00C97C8E">
      <w:pPr>
        <w:spacing w:line="360" w:lineRule="auto"/>
      </w:pPr>
      <w:r>
        <w:rPr>
          <w:rFonts w:hint="eastAsia"/>
        </w:rPr>
        <w:t xml:space="preserve">    2.</w:t>
      </w:r>
      <w:r>
        <w:rPr>
          <w:rFonts w:hint="eastAsia"/>
        </w:rPr>
        <w:t>格兰杰检验</w:t>
      </w:r>
    </w:p>
    <w:p w:rsidR="004165EC" w:rsidRDefault="00C97C8E">
      <w:pPr>
        <w:spacing w:line="360" w:lineRule="auto"/>
      </w:pPr>
      <w:r>
        <w:rPr>
          <w:rFonts w:hint="eastAsia"/>
        </w:rPr>
        <w:t xml:space="preserve">    </w:t>
      </w:r>
      <w:r>
        <w:t>在</w:t>
      </w:r>
      <w:r>
        <w:rPr>
          <w:rFonts w:hint="eastAsia"/>
        </w:rPr>
        <w:t>0.05</w:t>
      </w:r>
      <w:r>
        <w:rPr>
          <w:rFonts w:hint="eastAsia"/>
        </w:rPr>
        <w:t>的置信区间下，</w:t>
      </w:r>
      <w:r>
        <w:rPr>
          <w:rFonts w:hint="eastAsia"/>
        </w:rPr>
        <w:t>P</w:t>
      </w:r>
      <w:r>
        <w:rPr>
          <w:rFonts w:hint="eastAsia"/>
        </w:rPr>
        <w:t>值小于</w:t>
      </w:r>
      <w:r>
        <w:rPr>
          <w:rFonts w:hint="eastAsia"/>
        </w:rPr>
        <w:t>0.05</w:t>
      </w:r>
      <w:r>
        <w:rPr>
          <w:rFonts w:hint="eastAsia"/>
        </w:rPr>
        <w:t>拒绝原假设，即有格兰杰因果关系。</w:t>
      </w:r>
    </w:p>
    <w:p w:rsidR="004165EC" w:rsidRDefault="00C97C8E">
      <w:pPr>
        <w:spacing w:line="360" w:lineRule="auto"/>
        <w:rPr>
          <w:rFonts w:ascii="Arial" w:hAnsi="Arial" w:cs="Arial"/>
          <w:kern w:val="0"/>
          <w:sz w:val="18"/>
          <w:szCs w:val="18"/>
        </w:rPr>
      </w:pPr>
      <w:r>
        <w:t>CPI</w:t>
      </w:r>
      <w:r>
        <w:rPr>
          <w:rFonts w:hint="eastAsia"/>
        </w:rPr>
        <w:t xml:space="preserve"> and</w:t>
      </w:r>
      <w:r>
        <w:t xml:space="preserve"> NH:</w:t>
      </w:r>
    </w:p>
    <w:tbl>
      <w:tblPr>
        <w:tblW w:w="6690" w:type="dxa"/>
        <w:tblInd w:w="30" w:type="dxa"/>
        <w:tblLayout w:type="fixed"/>
        <w:tblCellMar>
          <w:left w:w="0" w:type="dxa"/>
          <w:right w:w="0" w:type="dxa"/>
        </w:tblCellMar>
        <w:tblLook w:val="04A0" w:firstRow="1" w:lastRow="0" w:firstColumn="1" w:lastColumn="0" w:noHBand="0" w:noVBand="1"/>
      </w:tblPr>
      <w:tblGrid>
        <w:gridCol w:w="4012"/>
        <w:gridCol w:w="788"/>
        <w:gridCol w:w="997"/>
        <w:gridCol w:w="893"/>
      </w:tblGrid>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Pairwise Granger Causality Tests</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Date: 12/17/14   Time: 11:41</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Sample: 2005M01 2014M06</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Lags: 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Null Hypothesis:</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Obs</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F-Statistic</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Prob. </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NH does not Granger Cause CPI</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113</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15.0829</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0.0002</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CPI does not Granger Cause NH</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4.34786</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FF0000"/>
                <w:kern w:val="0"/>
                <w:sz w:val="18"/>
                <w:szCs w:val="18"/>
              </w:rPr>
            </w:pPr>
            <w:r>
              <w:rPr>
                <w:rFonts w:ascii="Arial" w:hAnsi="Arial" w:cs="Arial"/>
                <w:color w:val="FF0000"/>
                <w:kern w:val="0"/>
                <w:sz w:val="18"/>
                <w:szCs w:val="18"/>
              </w:rPr>
              <w:t>0.0394</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Arial" w:hAnsi="Arial" w:cs="Arial"/>
          <w:kern w:val="0"/>
          <w:sz w:val="18"/>
          <w:szCs w:val="18"/>
        </w:rPr>
      </w:pPr>
      <w:r>
        <w:rPr>
          <w:rFonts w:ascii="Arial" w:hAnsi="Arial" w:cs="Arial"/>
          <w:kern w:val="0"/>
          <w:sz w:val="18"/>
          <w:szCs w:val="18"/>
        </w:rPr>
        <w:br/>
      </w:r>
      <w:r>
        <w:t>EP</w:t>
      </w:r>
      <w:r>
        <w:rPr>
          <w:rFonts w:hint="eastAsia"/>
        </w:rPr>
        <w:t xml:space="preserve"> and NH</w:t>
      </w:r>
    </w:p>
    <w:tbl>
      <w:tblPr>
        <w:tblW w:w="6690" w:type="dxa"/>
        <w:tblInd w:w="30" w:type="dxa"/>
        <w:tblLayout w:type="fixed"/>
        <w:tblCellMar>
          <w:left w:w="0" w:type="dxa"/>
          <w:right w:w="0" w:type="dxa"/>
        </w:tblCellMar>
        <w:tblLook w:val="04A0" w:firstRow="1" w:lastRow="0" w:firstColumn="1" w:lastColumn="0" w:noHBand="0" w:noVBand="1"/>
      </w:tblPr>
      <w:tblGrid>
        <w:gridCol w:w="4012"/>
        <w:gridCol w:w="788"/>
        <w:gridCol w:w="997"/>
        <w:gridCol w:w="893"/>
      </w:tblGrid>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Pairwise Granger Causality Tests</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lastRenderedPageBreak/>
              <w:t>Date: 12/17/14   Time: 11:42</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Sample: 2005M01 2014M06</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Lags: 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Null Hypothesis:</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Obs</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F-Statistic</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Prob. </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NH does not Granger Cause EP</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113</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8.72988</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0.0038</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EP does not Granger Cause NH</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0.90901</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FF0000"/>
                <w:kern w:val="0"/>
                <w:sz w:val="18"/>
                <w:szCs w:val="18"/>
              </w:rPr>
            </w:pPr>
            <w:r>
              <w:rPr>
                <w:rFonts w:ascii="Arial" w:hAnsi="Arial" w:cs="Arial"/>
                <w:color w:val="FF0000"/>
                <w:kern w:val="0"/>
                <w:sz w:val="18"/>
                <w:szCs w:val="18"/>
              </w:rPr>
              <w:t>0.3425</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Arial" w:hAnsi="Arial" w:cs="Arial"/>
          <w:kern w:val="0"/>
          <w:sz w:val="18"/>
          <w:szCs w:val="18"/>
        </w:rPr>
      </w:pPr>
      <w:r>
        <w:t>HG</w:t>
      </w:r>
      <w:r>
        <w:rPr>
          <w:rFonts w:hint="eastAsia"/>
        </w:rPr>
        <w:t xml:space="preserve"> and NH</w:t>
      </w:r>
      <w:r>
        <w:rPr>
          <w:rFonts w:hint="eastAsia"/>
        </w:rPr>
        <w:t>：</w:t>
      </w:r>
    </w:p>
    <w:tbl>
      <w:tblPr>
        <w:tblW w:w="6690" w:type="dxa"/>
        <w:tblInd w:w="30" w:type="dxa"/>
        <w:tblLayout w:type="fixed"/>
        <w:tblCellMar>
          <w:left w:w="0" w:type="dxa"/>
          <w:right w:w="0" w:type="dxa"/>
        </w:tblCellMar>
        <w:tblLook w:val="04A0" w:firstRow="1" w:lastRow="0" w:firstColumn="1" w:lastColumn="0" w:noHBand="0" w:noVBand="1"/>
      </w:tblPr>
      <w:tblGrid>
        <w:gridCol w:w="4012"/>
        <w:gridCol w:w="788"/>
        <w:gridCol w:w="997"/>
        <w:gridCol w:w="893"/>
      </w:tblGrid>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Pairwise Granger Causality Tests</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Date: 12/17/14   Time: 11:43</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Sample: 2005M01 2014M06</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Lags: 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Null Hypothesis:</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Obs</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F-Statistic</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Prob. </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NH does not Granger Cause HG</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113</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9.81904</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0.0022</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HG does not Granger Cause NH</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6.20581</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FF0000"/>
                <w:kern w:val="0"/>
                <w:sz w:val="18"/>
                <w:szCs w:val="18"/>
              </w:rPr>
            </w:pPr>
            <w:r>
              <w:rPr>
                <w:rFonts w:ascii="Arial" w:hAnsi="Arial" w:cs="Arial"/>
                <w:color w:val="FF0000"/>
                <w:kern w:val="0"/>
                <w:sz w:val="18"/>
                <w:szCs w:val="18"/>
              </w:rPr>
              <w:t>0.0142</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Arial" w:hAnsi="Arial" w:cs="Arial"/>
          <w:kern w:val="0"/>
          <w:sz w:val="18"/>
          <w:szCs w:val="18"/>
        </w:rPr>
      </w:pPr>
      <w:r>
        <w:t>MY</w:t>
      </w:r>
      <w:r>
        <w:rPr>
          <w:rFonts w:hint="eastAsia"/>
        </w:rPr>
        <w:t xml:space="preserve"> and NH</w:t>
      </w:r>
      <w:r>
        <w:rPr>
          <w:rFonts w:hint="eastAsia"/>
        </w:rPr>
        <w:t>：</w:t>
      </w:r>
    </w:p>
    <w:tbl>
      <w:tblPr>
        <w:tblW w:w="6690" w:type="dxa"/>
        <w:tblInd w:w="30" w:type="dxa"/>
        <w:tblLayout w:type="fixed"/>
        <w:tblCellMar>
          <w:left w:w="0" w:type="dxa"/>
          <w:right w:w="0" w:type="dxa"/>
        </w:tblCellMar>
        <w:tblLook w:val="04A0" w:firstRow="1" w:lastRow="0" w:firstColumn="1" w:lastColumn="0" w:noHBand="0" w:noVBand="1"/>
      </w:tblPr>
      <w:tblGrid>
        <w:gridCol w:w="4012"/>
        <w:gridCol w:w="788"/>
        <w:gridCol w:w="997"/>
        <w:gridCol w:w="893"/>
      </w:tblGrid>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Pairwise Granger Causality Tests</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Date: 12/17/14   Time: 11:44</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Sample: 2005M01 2014M06</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Lags: 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Null Hypothesis:</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Obs</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F-Statistic</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Prob. </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NH does not Granger Cause MY</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113</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15.3661</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0.0002</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MY does not Granger Cause NH</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3.84170</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FF0000"/>
                <w:kern w:val="0"/>
                <w:sz w:val="18"/>
                <w:szCs w:val="18"/>
              </w:rPr>
            </w:pPr>
            <w:r>
              <w:rPr>
                <w:rFonts w:ascii="Arial" w:hAnsi="Arial" w:cs="Arial"/>
                <w:color w:val="FF0000"/>
                <w:kern w:val="0"/>
                <w:sz w:val="18"/>
                <w:szCs w:val="18"/>
              </w:rPr>
              <w:t>0.0525</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Arial" w:hAnsi="Arial" w:cs="Arial"/>
          <w:kern w:val="0"/>
          <w:sz w:val="18"/>
          <w:szCs w:val="18"/>
        </w:rPr>
      </w:pPr>
      <w:r>
        <w:t>PPI</w:t>
      </w:r>
      <w:r>
        <w:rPr>
          <w:rFonts w:hint="eastAsia"/>
        </w:rPr>
        <w:t xml:space="preserve"> and NH</w:t>
      </w:r>
      <w:r>
        <w:rPr>
          <w:rFonts w:hint="eastAsia"/>
        </w:rPr>
        <w:t>：</w:t>
      </w:r>
    </w:p>
    <w:tbl>
      <w:tblPr>
        <w:tblW w:w="6690" w:type="dxa"/>
        <w:tblInd w:w="30" w:type="dxa"/>
        <w:tblLayout w:type="fixed"/>
        <w:tblCellMar>
          <w:left w:w="0" w:type="dxa"/>
          <w:right w:w="0" w:type="dxa"/>
        </w:tblCellMar>
        <w:tblLook w:val="04A0" w:firstRow="1" w:lastRow="0" w:firstColumn="1" w:lastColumn="0" w:noHBand="0" w:noVBand="1"/>
      </w:tblPr>
      <w:tblGrid>
        <w:gridCol w:w="4012"/>
        <w:gridCol w:w="788"/>
        <w:gridCol w:w="997"/>
        <w:gridCol w:w="893"/>
      </w:tblGrid>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Pairwise Granger Causality Tests</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Date: 12/17/14   Time: 11:45</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lastRenderedPageBreak/>
              <w:t>Sample: 2005M01 2014M06</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Lags: 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Null Hypothesis:</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Obs</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F-Statistic</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Prob. </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PPI does not Granger Cause NH</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113</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5.07380</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FF0000"/>
                <w:kern w:val="0"/>
                <w:sz w:val="18"/>
                <w:szCs w:val="18"/>
              </w:rPr>
            </w:pPr>
            <w:r>
              <w:rPr>
                <w:rFonts w:ascii="Arial" w:hAnsi="Arial" w:cs="Arial"/>
                <w:color w:val="FF0000"/>
                <w:kern w:val="0"/>
                <w:sz w:val="18"/>
                <w:szCs w:val="18"/>
              </w:rPr>
              <w:t>0.0263</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NH does not Granger Cause PPI</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38.7581</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9.E-09</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Arial" w:hAnsi="Arial" w:cs="Arial"/>
          <w:kern w:val="0"/>
          <w:sz w:val="18"/>
          <w:szCs w:val="18"/>
        </w:rPr>
      </w:pPr>
      <w:r>
        <w:t>RPI</w:t>
      </w:r>
      <w:r>
        <w:rPr>
          <w:rFonts w:hint="eastAsia"/>
        </w:rPr>
        <w:t xml:space="preserve"> and NH</w:t>
      </w:r>
      <w:r>
        <w:rPr>
          <w:rFonts w:hint="eastAsia"/>
        </w:rPr>
        <w:t>：</w:t>
      </w:r>
    </w:p>
    <w:tbl>
      <w:tblPr>
        <w:tblW w:w="6690" w:type="dxa"/>
        <w:tblInd w:w="30" w:type="dxa"/>
        <w:tblLayout w:type="fixed"/>
        <w:tblCellMar>
          <w:left w:w="0" w:type="dxa"/>
          <w:right w:w="0" w:type="dxa"/>
        </w:tblCellMar>
        <w:tblLook w:val="04A0" w:firstRow="1" w:lastRow="0" w:firstColumn="1" w:lastColumn="0" w:noHBand="0" w:noVBand="1"/>
      </w:tblPr>
      <w:tblGrid>
        <w:gridCol w:w="4012"/>
        <w:gridCol w:w="788"/>
        <w:gridCol w:w="997"/>
        <w:gridCol w:w="893"/>
      </w:tblGrid>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Pairwise Granger Causality Tests</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Date: 12/17/14   Time: 11:45</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Sample: 2005M01 2014M06</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Lags: 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Null Hypothesis:</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Obs</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F-Statistic</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Prob. </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RPI does not Granger Cause NH</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113</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6.14158</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FF0000"/>
                <w:kern w:val="0"/>
                <w:sz w:val="18"/>
                <w:szCs w:val="18"/>
              </w:rPr>
            </w:pPr>
            <w:r>
              <w:rPr>
                <w:rFonts w:ascii="Arial" w:hAnsi="Arial" w:cs="Arial"/>
                <w:color w:val="FF0000"/>
                <w:kern w:val="0"/>
                <w:sz w:val="18"/>
                <w:szCs w:val="18"/>
              </w:rPr>
              <w:t>0.0147</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NH does not Granger Cause RPI</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23.6976</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4.E-06</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pPr>
        <w:spacing w:line="360" w:lineRule="auto"/>
        <w:rPr>
          <w:rFonts w:ascii="Arial" w:hAnsi="Arial" w:cs="Arial"/>
          <w:kern w:val="0"/>
          <w:sz w:val="18"/>
          <w:szCs w:val="18"/>
        </w:rPr>
      </w:pPr>
      <w:r>
        <w:t>TC</w:t>
      </w:r>
      <w:r>
        <w:rPr>
          <w:rFonts w:hint="eastAsia"/>
        </w:rPr>
        <w:t xml:space="preserve"> and NH</w:t>
      </w:r>
      <w:r>
        <w:rPr>
          <w:rFonts w:hint="eastAsia"/>
        </w:rPr>
        <w:t>：</w:t>
      </w:r>
    </w:p>
    <w:tbl>
      <w:tblPr>
        <w:tblW w:w="6690" w:type="dxa"/>
        <w:tblInd w:w="30" w:type="dxa"/>
        <w:tblLayout w:type="fixed"/>
        <w:tblCellMar>
          <w:left w:w="0" w:type="dxa"/>
          <w:right w:w="0" w:type="dxa"/>
        </w:tblCellMar>
        <w:tblLook w:val="04A0" w:firstRow="1" w:lastRow="0" w:firstColumn="1" w:lastColumn="0" w:noHBand="0" w:noVBand="1"/>
      </w:tblPr>
      <w:tblGrid>
        <w:gridCol w:w="4012"/>
        <w:gridCol w:w="788"/>
        <w:gridCol w:w="997"/>
        <w:gridCol w:w="893"/>
      </w:tblGrid>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Pairwise Granger Causality Tests</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Date: 12/17/14   Time: 11:46</w:t>
            </w:r>
          </w:p>
        </w:tc>
      </w:tr>
      <w:tr w:rsidR="004165EC">
        <w:trPr>
          <w:trHeight w:val="225"/>
        </w:trPr>
        <w:tc>
          <w:tcPr>
            <w:tcW w:w="6690" w:type="dxa"/>
            <w:gridSpan w:val="4"/>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Sample: 2005M01 2014M06</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Lags: 1</w:t>
            </w: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Null Hypothesis:</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Obs</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F-Statistic</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Prob. </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val="225"/>
        </w:trPr>
        <w:tc>
          <w:tcPr>
            <w:tcW w:w="4012" w:type="dxa"/>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NH does not Granger Cause TC</w:t>
            </w:r>
          </w:p>
        </w:tc>
        <w:tc>
          <w:tcPr>
            <w:tcW w:w="788"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113</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2.82735</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000000"/>
                <w:kern w:val="0"/>
                <w:sz w:val="18"/>
                <w:szCs w:val="18"/>
              </w:rPr>
            </w:pPr>
            <w:r>
              <w:rPr>
                <w:rFonts w:ascii="Arial" w:hAnsi="Arial" w:cs="Arial"/>
                <w:color w:val="000000"/>
                <w:kern w:val="0"/>
                <w:sz w:val="18"/>
                <w:szCs w:val="18"/>
              </w:rPr>
              <w:t>0.0955</w:t>
            </w:r>
          </w:p>
        </w:tc>
      </w:tr>
      <w:tr w:rsidR="004165EC">
        <w:trPr>
          <w:trHeight w:val="225"/>
        </w:trPr>
        <w:tc>
          <w:tcPr>
            <w:tcW w:w="4800" w:type="dxa"/>
            <w:gridSpan w:val="2"/>
            <w:tcBorders>
              <w:top w:val="nil"/>
              <w:left w:val="nil"/>
              <w:bottom w:val="nil"/>
              <w:right w:val="nil"/>
            </w:tcBorders>
            <w:vAlign w:val="bottom"/>
          </w:tcPr>
          <w:p w:rsidR="004165EC" w:rsidRDefault="00C97C8E">
            <w:pPr>
              <w:autoSpaceDE w:val="0"/>
              <w:autoSpaceDN w:val="0"/>
              <w:adjustRightInd w:val="0"/>
              <w:spacing w:line="360" w:lineRule="auto"/>
              <w:jc w:val="left"/>
              <w:rPr>
                <w:rFonts w:ascii="Arial" w:hAnsi="Arial" w:cs="Arial"/>
                <w:color w:val="000000"/>
                <w:kern w:val="0"/>
                <w:sz w:val="18"/>
                <w:szCs w:val="18"/>
              </w:rPr>
            </w:pPr>
            <w:r>
              <w:rPr>
                <w:rFonts w:ascii="Arial" w:hAnsi="Arial" w:cs="Arial"/>
                <w:color w:val="000000"/>
                <w:kern w:val="0"/>
                <w:sz w:val="18"/>
                <w:szCs w:val="18"/>
              </w:rPr>
              <w:t> TC does not Granger Cause NH</w:t>
            </w:r>
          </w:p>
        </w:tc>
        <w:tc>
          <w:tcPr>
            <w:tcW w:w="997" w:type="dxa"/>
            <w:tcBorders>
              <w:top w:val="nil"/>
              <w:left w:val="nil"/>
              <w:bottom w:val="nil"/>
              <w:right w:val="nil"/>
            </w:tcBorders>
            <w:vAlign w:val="bottom"/>
          </w:tcPr>
          <w:p w:rsidR="004165EC" w:rsidRDefault="00C97C8E">
            <w:pPr>
              <w:autoSpaceDE w:val="0"/>
              <w:autoSpaceDN w:val="0"/>
              <w:adjustRightInd w:val="0"/>
              <w:spacing w:line="360" w:lineRule="auto"/>
              <w:jc w:val="center"/>
              <w:rPr>
                <w:rFonts w:ascii="Arial" w:hAnsi="Arial" w:cs="Arial"/>
                <w:color w:val="000000"/>
                <w:kern w:val="0"/>
                <w:sz w:val="18"/>
                <w:szCs w:val="18"/>
              </w:rPr>
            </w:pPr>
            <w:r>
              <w:rPr>
                <w:rFonts w:ascii="Arial" w:hAnsi="Arial" w:cs="Arial"/>
                <w:color w:val="000000"/>
                <w:kern w:val="0"/>
                <w:sz w:val="18"/>
                <w:szCs w:val="18"/>
              </w:rPr>
              <w:t> 2.58315</w:t>
            </w:r>
          </w:p>
        </w:tc>
        <w:tc>
          <w:tcPr>
            <w:tcW w:w="893" w:type="dxa"/>
            <w:tcBorders>
              <w:top w:val="nil"/>
              <w:left w:val="nil"/>
              <w:bottom w:val="nil"/>
              <w:right w:val="nil"/>
            </w:tcBorders>
            <w:vAlign w:val="bottom"/>
          </w:tcPr>
          <w:p w:rsidR="004165EC" w:rsidRDefault="00C97C8E">
            <w:pPr>
              <w:autoSpaceDE w:val="0"/>
              <w:autoSpaceDN w:val="0"/>
              <w:adjustRightInd w:val="0"/>
              <w:spacing w:line="360" w:lineRule="auto"/>
              <w:ind w:right="10"/>
              <w:jc w:val="right"/>
              <w:rPr>
                <w:rFonts w:ascii="Arial" w:hAnsi="Arial" w:cs="Arial"/>
                <w:color w:val="FF0000"/>
                <w:kern w:val="0"/>
                <w:sz w:val="18"/>
                <w:szCs w:val="18"/>
              </w:rPr>
            </w:pPr>
            <w:r>
              <w:rPr>
                <w:rFonts w:ascii="Arial" w:hAnsi="Arial" w:cs="Arial"/>
                <w:color w:val="FF0000"/>
                <w:kern w:val="0"/>
                <w:sz w:val="18"/>
                <w:szCs w:val="18"/>
              </w:rPr>
              <w:t>0.1109</w:t>
            </w:r>
          </w:p>
        </w:tc>
      </w:tr>
      <w:tr w:rsidR="004165EC">
        <w:trPr>
          <w:trHeight w:hRule="exact" w:val="90"/>
        </w:trPr>
        <w:tc>
          <w:tcPr>
            <w:tcW w:w="4012"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double" w:sz="6" w:space="0" w:color="auto"/>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r w:rsidR="004165EC">
        <w:trPr>
          <w:trHeight w:hRule="exact" w:val="135"/>
        </w:trPr>
        <w:tc>
          <w:tcPr>
            <w:tcW w:w="4012"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788"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997"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c>
          <w:tcPr>
            <w:tcW w:w="893" w:type="dxa"/>
            <w:tcBorders>
              <w:top w:val="nil"/>
              <w:left w:val="nil"/>
              <w:bottom w:val="nil"/>
              <w:right w:val="nil"/>
            </w:tcBorders>
            <w:vAlign w:val="bottom"/>
          </w:tcPr>
          <w:p w:rsidR="004165EC" w:rsidRDefault="004165EC">
            <w:pPr>
              <w:autoSpaceDE w:val="0"/>
              <w:autoSpaceDN w:val="0"/>
              <w:adjustRightInd w:val="0"/>
              <w:spacing w:line="360" w:lineRule="auto"/>
              <w:jc w:val="center"/>
              <w:rPr>
                <w:rFonts w:ascii="Arial" w:hAnsi="Arial" w:cs="Arial"/>
                <w:color w:val="000000"/>
                <w:kern w:val="0"/>
                <w:sz w:val="18"/>
                <w:szCs w:val="18"/>
              </w:rPr>
            </w:pPr>
          </w:p>
        </w:tc>
      </w:tr>
    </w:tbl>
    <w:p w:rsidR="004165EC" w:rsidRDefault="00C97C8E" w:rsidP="00C97C8E">
      <w:pPr>
        <w:spacing w:line="360" w:lineRule="auto"/>
        <w:ind w:firstLineChars="200" w:firstLine="422"/>
        <w:rPr>
          <w:rFonts w:ascii="宋体" w:hAnsi="宋体" w:cs="宋体"/>
        </w:rPr>
      </w:pPr>
      <w:r>
        <w:rPr>
          <w:rFonts w:ascii="宋体" w:hAnsi="宋体" w:cs="宋体" w:hint="eastAsia"/>
          <w:b/>
          <w:bCs/>
        </w:rPr>
        <w:t>结果分析</w:t>
      </w:r>
      <w:r>
        <w:rPr>
          <w:rFonts w:ascii="宋体" w:hAnsi="宋体" w:cs="宋体" w:hint="eastAsia"/>
        </w:rPr>
        <w:t>：由以上结果，可以得出如下结论，居民消费价格指数（CPI）、宏观经济景气指数：先行指数（HG）、工业生产者出厂价格指数（PPI）、商品零售价格指数（RPI）和南华商品价格指数有显著的格兰杰因果关系。</w:t>
      </w:r>
    </w:p>
    <w:p w:rsidR="004165EC" w:rsidRDefault="00C97C8E">
      <w:pPr>
        <w:spacing w:line="360" w:lineRule="auto"/>
        <w:ind w:firstLineChars="200" w:firstLine="420"/>
        <w:rPr>
          <w:rFonts w:ascii="宋体" w:hAnsi="宋体" w:cs="宋体"/>
        </w:rPr>
      </w:pPr>
      <w:r>
        <w:rPr>
          <w:rFonts w:ascii="宋体" w:hAnsi="宋体" w:cs="宋体" w:hint="eastAsia"/>
        </w:rPr>
        <w:t>结合相关性分析和</w:t>
      </w:r>
      <w:proofErr w:type="gramStart"/>
      <w:r>
        <w:rPr>
          <w:rFonts w:ascii="宋体" w:hAnsi="宋体" w:cs="宋体" w:hint="eastAsia"/>
        </w:rPr>
        <w:t>格兰</w:t>
      </w:r>
      <w:proofErr w:type="gramEnd"/>
      <w:r>
        <w:rPr>
          <w:rFonts w:ascii="宋体" w:hAnsi="宋体" w:cs="宋体" w:hint="eastAsia"/>
        </w:rPr>
        <w:t>杰因果检验，下面重点研究居民消费价格指数（CPI）、宏观经</w:t>
      </w:r>
      <w:r>
        <w:rPr>
          <w:rFonts w:ascii="宋体" w:hAnsi="宋体" w:cs="宋体" w:hint="eastAsia"/>
        </w:rPr>
        <w:lastRenderedPageBreak/>
        <w:t>济景气指数：先行指数（HG）、工业生产者出厂价格指数（PPI）、商品零售价格指数（RPI）和广义美元指数（MY）与期货价格行情的关系，再根据不同期货品种，增加相应的宏观指标，挖掘出是否这些宏观指标能预测走势震荡或者趋势。</w:t>
      </w:r>
    </w:p>
    <w:p w:rsidR="004165EC" w:rsidRDefault="00C97C8E">
      <w:pPr>
        <w:spacing w:line="360" w:lineRule="auto"/>
      </w:pPr>
      <w:r>
        <w:rPr>
          <w:rFonts w:ascii="宋体" w:hAnsi="宋体" w:cs="宋体" w:hint="eastAsia"/>
          <w:b/>
          <w:bCs/>
          <w:sz w:val="24"/>
          <w:szCs w:val="24"/>
        </w:rPr>
        <w:t>3.3预测期货行情</w:t>
      </w:r>
    </w:p>
    <w:p w:rsidR="004165EC" w:rsidRDefault="00C97C8E">
      <w:pPr>
        <w:spacing w:line="360" w:lineRule="auto"/>
        <w:rPr>
          <w:b/>
          <w:bCs/>
        </w:rPr>
      </w:pPr>
      <w:r>
        <w:rPr>
          <w:rFonts w:hint="eastAsia"/>
          <w:b/>
          <w:bCs/>
        </w:rPr>
        <w:t xml:space="preserve">3.3.1 </w:t>
      </w:r>
      <w:r>
        <w:rPr>
          <w:rFonts w:hint="eastAsia"/>
          <w:b/>
          <w:bCs/>
        </w:rPr>
        <w:t>逻辑回归模型</w:t>
      </w:r>
    </w:p>
    <w:p w:rsidR="004165EC" w:rsidRDefault="00C97C8E">
      <w:pPr>
        <w:spacing w:line="360" w:lineRule="auto"/>
        <w:rPr>
          <w:rFonts w:ascii="宋体" w:hAnsi="宋体" w:cs="宋体"/>
        </w:rPr>
      </w:pPr>
      <w:r>
        <w:rPr>
          <w:rFonts w:ascii="宋体" w:hAnsi="宋体" w:cs="宋体" w:hint="eastAsia"/>
        </w:rPr>
        <w:t xml:space="preserve">    逻辑模型（Logit  model）是</w:t>
      </w:r>
      <w:hyperlink r:id="rId55" w:tgtFrame="http://baike.baidu.com/view/_blank" w:history="1">
        <w:r>
          <w:rPr>
            <w:rFonts w:ascii="宋体" w:hAnsi="宋体" w:cs="宋体" w:hint="eastAsia"/>
          </w:rPr>
          <w:t>离散选择法</w:t>
        </w:r>
      </w:hyperlink>
      <w:r>
        <w:rPr>
          <w:rFonts w:ascii="宋体" w:hAnsi="宋体" w:cs="宋体" w:hint="eastAsia"/>
        </w:rPr>
        <w:t>模型之一，属于</w:t>
      </w:r>
      <w:hyperlink r:id="rId56" w:tgtFrame="http://baike.baidu.com/view/_blank" w:history="1">
        <w:r>
          <w:rPr>
            <w:rFonts w:ascii="宋体" w:hAnsi="宋体" w:cs="宋体" w:hint="eastAsia"/>
          </w:rPr>
          <w:t>多重变量分析</w:t>
        </w:r>
      </w:hyperlink>
      <w:r>
        <w:rPr>
          <w:rFonts w:ascii="宋体" w:hAnsi="宋体" w:cs="宋体" w:hint="eastAsia"/>
        </w:rPr>
        <w:t>范畴，</w:t>
      </w:r>
    </w:p>
    <w:p w:rsidR="004165EC" w:rsidRDefault="00C97C8E">
      <w:pPr>
        <w:spacing w:line="360" w:lineRule="auto"/>
        <w:rPr>
          <w:rFonts w:ascii="宋体" w:hAnsi="宋体" w:cs="宋体"/>
        </w:rPr>
      </w:pPr>
      <w:r>
        <w:rPr>
          <w:rFonts w:ascii="宋体" w:hAnsi="宋体" w:cs="宋体" w:hint="eastAsia"/>
        </w:rPr>
        <w:t xml:space="preserve">    逻辑分布（Logistic distribution）</w:t>
      </w:r>
      <w:hyperlink r:id="rId57" w:tgtFrame="http://baike.baidu.com/view/_blank" w:history="1">
        <w:r>
          <w:rPr>
            <w:rFonts w:ascii="宋体" w:hAnsi="宋体" w:cs="宋体" w:hint="eastAsia"/>
          </w:rPr>
          <w:t>公式</w:t>
        </w:r>
      </w:hyperlink>
      <w:r>
        <w:rPr>
          <w:rFonts w:ascii="宋体" w:hAnsi="宋体" w:cs="宋体" w:hint="eastAsia"/>
        </w:rPr>
        <w:t>P(Y=1│X=x)=exp(xβ)/(1+exp(xβ))</w:t>
      </w:r>
    </w:p>
    <w:p w:rsidR="004165EC" w:rsidRDefault="00C97C8E">
      <w:pPr>
        <w:spacing w:line="360" w:lineRule="auto"/>
        <w:rPr>
          <w:rFonts w:ascii="宋体" w:hAnsi="宋体" w:cs="宋体"/>
        </w:rPr>
      </w:pPr>
      <w:r>
        <w:rPr>
          <w:rFonts w:ascii="宋体" w:hAnsi="宋体" w:cs="宋体" w:hint="eastAsia"/>
        </w:rPr>
        <w:t xml:space="preserve">    其中参数β常用</w:t>
      </w:r>
      <w:hyperlink r:id="rId58" w:tgtFrame="http://baike.baidu.com/view/_blank" w:history="1">
        <w:r>
          <w:rPr>
            <w:rFonts w:ascii="宋体" w:hAnsi="宋体" w:cs="宋体" w:hint="eastAsia"/>
          </w:rPr>
          <w:t>极大似然估计</w:t>
        </w:r>
      </w:hyperlink>
      <w:r>
        <w:rPr>
          <w:rFonts w:ascii="宋体" w:hAnsi="宋体" w:cs="宋体" w:hint="eastAsia"/>
        </w:rPr>
        <w:t>。</w:t>
      </w:r>
    </w:p>
    <w:p w:rsidR="004165EC" w:rsidRDefault="00C97C8E">
      <w:pPr>
        <w:spacing w:line="360" w:lineRule="auto"/>
        <w:rPr>
          <w:rFonts w:ascii="宋体" w:hAnsi="宋体" w:cs="宋体"/>
        </w:rPr>
      </w:pPr>
      <w:r>
        <w:rPr>
          <w:rFonts w:ascii="宋体" w:hAnsi="宋体" w:cs="宋体" w:hint="eastAsia"/>
        </w:rPr>
        <w:t xml:space="preserve">    建立宏观经济指标和期货行情（趋势=1，震荡=0）之间的逻辑回归模型。以铜一月份期货合约为例，初步分析结果如下：</w:t>
      </w:r>
    </w:p>
    <w:p w:rsidR="004165EC" w:rsidRDefault="00C97C8E">
      <w:pPr>
        <w:spacing w:line="360" w:lineRule="auto"/>
        <w:rPr>
          <w:rFonts w:ascii="宋体" w:hAnsi="宋体" w:cs="宋体"/>
        </w:rPr>
      </w:pPr>
      <w:r>
        <w:rPr>
          <w:rFonts w:ascii="宋体" w:hAnsi="宋体" w:cs="宋体" w:hint="eastAsia"/>
        </w:rPr>
        <w:t>Coefficients:</w:t>
      </w:r>
    </w:p>
    <w:p w:rsidR="004165EC" w:rsidRDefault="00C97C8E">
      <w:pPr>
        <w:spacing w:line="360" w:lineRule="auto"/>
        <w:rPr>
          <w:rFonts w:ascii="宋体" w:hAnsi="宋体" w:cs="宋体"/>
        </w:rPr>
      </w:pPr>
      <w:r>
        <w:rPr>
          <w:rFonts w:ascii="宋体" w:hAnsi="宋体" w:cs="宋体" w:hint="eastAsia"/>
        </w:rPr>
        <w:t xml:space="preserve">            Estimate Std. Error z value </w:t>
      </w:r>
      <w:proofErr w:type="gramStart"/>
      <w:r>
        <w:rPr>
          <w:rFonts w:ascii="宋体" w:hAnsi="宋体" w:cs="宋体" w:hint="eastAsia"/>
        </w:rPr>
        <w:t>Pr(</w:t>
      </w:r>
      <w:proofErr w:type="gramEnd"/>
      <w:r>
        <w:rPr>
          <w:rFonts w:ascii="宋体" w:hAnsi="宋体" w:cs="宋体" w:hint="eastAsia"/>
        </w:rPr>
        <w:t>&gt;|z|)</w:t>
      </w:r>
    </w:p>
    <w:p w:rsidR="004165EC" w:rsidRDefault="00C97C8E">
      <w:pPr>
        <w:spacing w:line="360" w:lineRule="auto"/>
        <w:rPr>
          <w:rFonts w:ascii="宋体" w:hAnsi="宋体" w:cs="宋体"/>
        </w:rPr>
      </w:pPr>
      <w:r>
        <w:rPr>
          <w:rFonts w:ascii="宋体" w:hAnsi="宋体" w:cs="宋体" w:hint="eastAsia"/>
        </w:rPr>
        <w:t>(Intercept)  0.97277   11.30959   0.086    0.931</w:t>
      </w:r>
    </w:p>
    <w:p w:rsidR="004165EC" w:rsidRDefault="00C97C8E">
      <w:pPr>
        <w:spacing w:line="360" w:lineRule="auto"/>
        <w:rPr>
          <w:rFonts w:ascii="宋体" w:hAnsi="宋体" w:cs="宋体"/>
        </w:rPr>
      </w:pPr>
      <w:proofErr w:type="gramStart"/>
      <w:r>
        <w:rPr>
          <w:rFonts w:ascii="宋体" w:hAnsi="宋体" w:cs="宋体" w:hint="eastAsia"/>
        </w:rPr>
        <w:t>e</w:t>
      </w:r>
      <w:proofErr w:type="gramEnd"/>
      <w:r>
        <w:rPr>
          <w:rFonts w:ascii="宋体" w:hAnsi="宋体" w:cs="宋体" w:hint="eastAsia"/>
        </w:rPr>
        <w:t xml:space="preserve">            0.02179    0.11433   0.191    0.849</w:t>
      </w:r>
    </w:p>
    <w:p w:rsidR="004165EC" w:rsidRDefault="00C97C8E">
      <w:pPr>
        <w:spacing w:line="360" w:lineRule="auto"/>
        <w:rPr>
          <w:rFonts w:ascii="宋体" w:hAnsi="宋体" w:cs="宋体"/>
        </w:rPr>
      </w:pPr>
      <w:r>
        <w:rPr>
          <w:rFonts w:ascii="宋体" w:hAnsi="宋体" w:cs="宋体" w:hint="eastAsia"/>
        </w:rPr>
        <w:t xml:space="preserve">m           -0.01273    </w:t>
      </w:r>
      <w:proofErr w:type="gramStart"/>
      <w:r>
        <w:rPr>
          <w:rFonts w:ascii="宋体" w:hAnsi="宋体" w:cs="宋体" w:hint="eastAsia"/>
        </w:rPr>
        <w:t>0.03662  -</w:t>
      </w:r>
      <w:proofErr w:type="gramEnd"/>
      <w:r>
        <w:rPr>
          <w:rFonts w:ascii="宋体" w:hAnsi="宋体" w:cs="宋体" w:hint="eastAsia"/>
        </w:rPr>
        <w:t>0.348    0.728</w:t>
      </w:r>
    </w:p>
    <w:p w:rsidR="004165EC" w:rsidRDefault="00C97C8E">
      <w:pPr>
        <w:spacing w:line="360" w:lineRule="auto"/>
        <w:rPr>
          <w:rFonts w:ascii="宋体" w:hAnsi="宋体" w:cs="宋体"/>
        </w:rPr>
      </w:pPr>
      <w:proofErr w:type="gramStart"/>
      <w:r>
        <w:rPr>
          <w:rFonts w:ascii="宋体" w:hAnsi="宋体" w:cs="宋体" w:hint="eastAsia"/>
        </w:rPr>
        <w:t>ppi</w:t>
      </w:r>
      <w:proofErr w:type="gramEnd"/>
      <w:r>
        <w:rPr>
          <w:rFonts w:ascii="宋体" w:hAnsi="宋体" w:cs="宋体" w:hint="eastAsia"/>
        </w:rPr>
        <w:t xml:space="preserve">          0.06396    0.08329   0.768    0.443</w:t>
      </w:r>
    </w:p>
    <w:p w:rsidR="004165EC" w:rsidRDefault="00C97C8E">
      <w:pPr>
        <w:spacing w:line="360" w:lineRule="auto"/>
        <w:rPr>
          <w:rFonts w:ascii="宋体" w:hAnsi="宋体" w:cs="宋体"/>
        </w:rPr>
      </w:pPr>
      <w:proofErr w:type="gramStart"/>
      <w:r>
        <w:rPr>
          <w:rFonts w:ascii="宋体" w:hAnsi="宋体" w:cs="宋体" w:hint="eastAsia"/>
        </w:rPr>
        <w:t>coal</w:t>
      </w:r>
      <w:proofErr w:type="gramEnd"/>
      <w:r>
        <w:rPr>
          <w:rFonts w:ascii="宋体" w:hAnsi="宋体" w:cs="宋体" w:hint="eastAsia"/>
        </w:rPr>
        <w:t xml:space="preserve">        -0.02267    0.01705  -1.330    0.184</w:t>
      </w:r>
    </w:p>
    <w:p w:rsidR="004165EC" w:rsidRDefault="00C97C8E">
      <w:pPr>
        <w:spacing w:line="360" w:lineRule="auto"/>
        <w:rPr>
          <w:rFonts w:ascii="宋体" w:hAnsi="宋体" w:cs="宋体"/>
        </w:rPr>
      </w:pPr>
      <w:r>
        <w:rPr>
          <w:rFonts w:ascii="宋体" w:hAnsi="宋体" w:cs="宋体" w:hint="eastAsia"/>
        </w:rPr>
        <w:t>(Dispersion parameter for binomial family taken to be 1)</w:t>
      </w:r>
    </w:p>
    <w:p w:rsidR="004165EC" w:rsidRDefault="00C97C8E">
      <w:pPr>
        <w:spacing w:line="360" w:lineRule="auto"/>
        <w:rPr>
          <w:rFonts w:ascii="宋体" w:hAnsi="宋体" w:cs="宋体"/>
        </w:rPr>
      </w:pPr>
      <w:r>
        <w:rPr>
          <w:rFonts w:ascii="宋体" w:hAnsi="宋体" w:cs="宋体" w:hint="eastAsia"/>
        </w:rPr>
        <w:t xml:space="preserve">    Null deviance: </w:t>
      </w:r>
      <w:proofErr w:type="gramStart"/>
      <w:r>
        <w:rPr>
          <w:rFonts w:ascii="宋体" w:hAnsi="宋体" w:cs="宋体" w:hint="eastAsia"/>
        </w:rPr>
        <w:t>162.73  on</w:t>
      </w:r>
      <w:proofErr w:type="gramEnd"/>
      <w:r>
        <w:rPr>
          <w:rFonts w:ascii="宋体" w:hAnsi="宋体" w:cs="宋体" w:hint="eastAsia"/>
        </w:rPr>
        <w:t xml:space="preserve"> 117  degrees of freedom</w:t>
      </w:r>
    </w:p>
    <w:p w:rsidR="004165EC" w:rsidRDefault="00C97C8E">
      <w:pPr>
        <w:spacing w:line="360" w:lineRule="auto"/>
        <w:rPr>
          <w:rFonts w:ascii="宋体" w:hAnsi="宋体" w:cs="宋体"/>
        </w:rPr>
      </w:pPr>
      <w:r>
        <w:rPr>
          <w:rFonts w:ascii="宋体" w:hAnsi="宋体" w:cs="宋体" w:hint="eastAsia"/>
        </w:rPr>
        <w:t xml:space="preserve">Residual deviance: </w:t>
      </w:r>
      <w:proofErr w:type="gramStart"/>
      <w:r>
        <w:rPr>
          <w:rFonts w:ascii="宋体" w:hAnsi="宋体" w:cs="宋体" w:hint="eastAsia"/>
        </w:rPr>
        <w:t>160.26  on</w:t>
      </w:r>
      <w:proofErr w:type="gramEnd"/>
      <w:r>
        <w:rPr>
          <w:rFonts w:ascii="宋体" w:hAnsi="宋体" w:cs="宋体" w:hint="eastAsia"/>
        </w:rPr>
        <w:t xml:space="preserve"> 113  degrees of freedom</w:t>
      </w:r>
    </w:p>
    <w:p w:rsidR="004165EC" w:rsidRDefault="00C97C8E">
      <w:pPr>
        <w:spacing w:line="360" w:lineRule="auto"/>
        <w:rPr>
          <w:rFonts w:ascii="宋体" w:hAnsi="宋体" w:cs="宋体"/>
        </w:rPr>
      </w:pPr>
      <w:r>
        <w:rPr>
          <w:rFonts w:ascii="宋体" w:hAnsi="宋体" w:cs="宋体" w:hint="eastAsia"/>
        </w:rPr>
        <w:t xml:space="preserve">  (1 observation deleted due to missingness)</w:t>
      </w:r>
    </w:p>
    <w:p w:rsidR="004165EC" w:rsidRDefault="00C97C8E">
      <w:pPr>
        <w:spacing w:line="360" w:lineRule="auto"/>
        <w:rPr>
          <w:rFonts w:ascii="宋体" w:hAnsi="宋体" w:cs="宋体"/>
        </w:rPr>
      </w:pPr>
      <w:r>
        <w:rPr>
          <w:rFonts w:ascii="宋体" w:hAnsi="宋体" w:cs="宋体" w:hint="eastAsia"/>
        </w:rPr>
        <w:t>AIC: 170.26</w:t>
      </w:r>
    </w:p>
    <w:p w:rsidR="004165EC" w:rsidRDefault="00C97C8E">
      <w:pPr>
        <w:spacing w:line="360" w:lineRule="auto"/>
        <w:rPr>
          <w:rFonts w:ascii="宋体" w:hAnsi="宋体" w:cs="宋体"/>
        </w:rPr>
      </w:pPr>
      <w:r>
        <w:rPr>
          <w:rFonts w:ascii="宋体" w:hAnsi="宋体" w:cs="宋体" w:hint="eastAsia"/>
        </w:rPr>
        <w:t>Number of Fisher Scoring iterations: 4</w:t>
      </w:r>
    </w:p>
    <w:p w:rsidR="004165EC" w:rsidRDefault="00C97C8E">
      <w:pPr>
        <w:spacing w:line="360" w:lineRule="auto"/>
        <w:ind w:firstLineChars="200" w:firstLine="420"/>
        <w:rPr>
          <w:rFonts w:ascii="宋体" w:hAnsi="宋体" w:cs="宋体"/>
        </w:rPr>
      </w:pPr>
      <w:r>
        <w:rPr>
          <w:rFonts w:ascii="宋体" w:hAnsi="宋体" w:cs="宋体" w:hint="eastAsia"/>
        </w:rPr>
        <w:t>其中e为宏观经济景气指数，m为美元指数，ppi工业生产者出厂价格指数，coal为原煤价格指数:当月同比。分析结果，可以看出回归效果并不好（p</w:t>
      </w:r>
      <w:proofErr w:type="gramStart"/>
      <w:r>
        <w:rPr>
          <w:rFonts w:ascii="宋体" w:hAnsi="宋体" w:cs="宋体" w:hint="eastAsia"/>
        </w:rPr>
        <w:t>值显著</w:t>
      </w:r>
      <w:proofErr w:type="gramEnd"/>
      <w:r>
        <w:rPr>
          <w:rFonts w:ascii="宋体" w:hAnsi="宋体" w:cs="宋体" w:hint="eastAsia"/>
        </w:rPr>
        <w:t>大于置信度0.05，不能拒绝原假设，即回归系数为0）。原因：自变量间存在共线性。</w:t>
      </w:r>
    </w:p>
    <w:p w:rsidR="004165EC" w:rsidRDefault="00C97C8E">
      <w:pPr>
        <w:spacing w:line="360" w:lineRule="auto"/>
        <w:ind w:firstLineChars="200" w:firstLine="420"/>
        <w:rPr>
          <w:rFonts w:ascii="宋体" w:hAnsi="宋体" w:cs="宋体"/>
        </w:rPr>
      </w:pPr>
      <w:r>
        <w:rPr>
          <w:rFonts w:ascii="宋体" w:hAnsi="宋体" w:cs="宋体" w:hint="eastAsia"/>
        </w:rPr>
        <w:t>接下来的计划：</w:t>
      </w:r>
    </w:p>
    <w:p w:rsidR="004165EC" w:rsidRDefault="00C97C8E">
      <w:pPr>
        <w:numPr>
          <w:ilvl w:val="0"/>
          <w:numId w:val="5"/>
        </w:numPr>
        <w:spacing w:line="360" w:lineRule="auto"/>
        <w:ind w:firstLineChars="200" w:firstLine="420"/>
        <w:rPr>
          <w:rFonts w:ascii="宋体" w:hAnsi="宋体" w:cs="宋体"/>
        </w:rPr>
      </w:pPr>
      <w:r>
        <w:rPr>
          <w:rFonts w:ascii="宋体" w:hAnsi="宋体" w:cs="宋体" w:hint="eastAsia"/>
        </w:rPr>
        <w:t>加入其他宏观指标，消除自变量之间的共线性，观察回归效果；</w:t>
      </w:r>
    </w:p>
    <w:p w:rsidR="004165EC" w:rsidRDefault="00C97C8E">
      <w:pPr>
        <w:numPr>
          <w:ilvl w:val="0"/>
          <w:numId w:val="5"/>
        </w:numPr>
        <w:spacing w:line="360" w:lineRule="auto"/>
        <w:ind w:firstLineChars="200" w:firstLine="420"/>
        <w:rPr>
          <w:rFonts w:ascii="宋体" w:hAnsi="宋体" w:cs="宋体"/>
        </w:rPr>
      </w:pPr>
      <w:r>
        <w:rPr>
          <w:rFonts w:ascii="宋体" w:hAnsi="宋体" w:cs="宋体" w:hint="eastAsia"/>
        </w:rPr>
        <w:t>考虑到实际应用中的情况，尝试对每个月的主力合约做分析。</w:t>
      </w:r>
    </w:p>
    <w:p w:rsidR="004165EC" w:rsidRDefault="00C97C8E">
      <w:pPr>
        <w:spacing w:line="360" w:lineRule="auto"/>
        <w:rPr>
          <w:rFonts w:ascii="宋体" w:hAnsi="宋体" w:cs="宋体"/>
          <w:b/>
          <w:bCs/>
        </w:rPr>
      </w:pPr>
      <w:r>
        <w:rPr>
          <w:rFonts w:ascii="宋体" w:hAnsi="宋体" w:cs="宋体" w:hint="eastAsia"/>
          <w:b/>
          <w:bCs/>
        </w:rPr>
        <w:t>3.3.2 AR模型</w:t>
      </w:r>
    </w:p>
    <w:p w:rsidR="004165EC" w:rsidRDefault="00C97C8E">
      <w:pPr>
        <w:spacing w:line="360" w:lineRule="auto"/>
        <w:ind w:firstLineChars="200" w:firstLine="420"/>
      </w:pPr>
      <w:r>
        <w:rPr>
          <w:rFonts w:hint="eastAsia"/>
        </w:rPr>
        <w:lastRenderedPageBreak/>
        <w:t>AR</w:t>
      </w:r>
      <w:r>
        <w:rPr>
          <w:rFonts w:hint="eastAsia"/>
        </w:rPr>
        <w:t>模型，即自回归（</w:t>
      </w:r>
      <w:r>
        <w:rPr>
          <w:rFonts w:hint="eastAsia"/>
        </w:rPr>
        <w:t>Auto Regressive, AR</w:t>
      </w:r>
      <w:r>
        <w:rPr>
          <w:rFonts w:hint="eastAsia"/>
        </w:rPr>
        <w:t>）模型，又称为时间序列模型，目标是通过分析要素</w:t>
      </w:r>
      <w:r>
        <w:rPr>
          <w:rFonts w:hint="eastAsia"/>
        </w:rPr>
        <w:t>(</w:t>
      </w:r>
      <w:r>
        <w:rPr>
          <w:rFonts w:hint="eastAsia"/>
        </w:rPr>
        <w:t>变量</w:t>
      </w:r>
      <w:r>
        <w:rPr>
          <w:rFonts w:hint="eastAsia"/>
        </w:rPr>
        <w:t>)</w:t>
      </w:r>
      <w:r>
        <w:rPr>
          <w:rFonts w:hint="eastAsia"/>
        </w:rPr>
        <w:t>随时间变化的历史过程</w:t>
      </w:r>
      <w:r>
        <w:rPr>
          <w:rFonts w:hint="eastAsia"/>
        </w:rPr>
        <w:t>, </w:t>
      </w:r>
      <w:r>
        <w:rPr>
          <w:rFonts w:hint="eastAsia"/>
        </w:rPr>
        <w:t>揭示其变化发展规律</w:t>
      </w:r>
      <w:r>
        <w:rPr>
          <w:rFonts w:hint="eastAsia"/>
        </w:rPr>
        <w:t>, </w:t>
      </w:r>
      <w:r>
        <w:rPr>
          <w:rFonts w:hint="eastAsia"/>
        </w:rPr>
        <w:t>并对未来状态进行分析预测。数学表达式为：</w:t>
      </w:r>
      <w:r>
        <w:rPr>
          <w:rFonts w:hint="eastAsia"/>
          <w:position w:val="-12"/>
        </w:rPr>
        <w:object w:dxaOrig="4400" w:dyaOrig="380">
          <v:shape id="图片 20" o:spid="_x0000_i1044" type="#_x0000_t75" style="width:219.75pt;height:18.75pt" o:ole="">
            <v:imagedata r:id="rId59" o:title=""/>
          </v:shape>
          <o:OLEObject Type="Embed" ProgID="Equation.3" ShapeID="图片 20" DrawAspect="Content" ObjectID="_1480851526" r:id="rId60"/>
        </w:object>
      </w:r>
      <w:r>
        <w:rPr>
          <w:rFonts w:hint="eastAsia"/>
        </w:rPr>
        <w:t xml:space="preserve"> </w:t>
      </w:r>
    </w:p>
    <w:p w:rsidR="004165EC" w:rsidRDefault="00C97C8E">
      <w:pPr>
        <w:spacing w:line="360" w:lineRule="auto"/>
        <w:ind w:firstLineChars="200" w:firstLine="420"/>
      </w:pPr>
      <w:r>
        <w:rPr>
          <w:rFonts w:hint="eastAsia"/>
        </w:rPr>
        <w:t>其中，</w:t>
      </w:r>
      <w:r>
        <w:rPr>
          <w:rFonts w:hint="eastAsia"/>
        </w:rPr>
        <w:t>e(t)</w:t>
      </w:r>
      <w:r>
        <w:rPr>
          <w:rFonts w:hint="eastAsia"/>
        </w:rPr>
        <w:t>为</w:t>
      </w:r>
      <w:hyperlink r:id="rId61" w:tgtFrame="http://baike.sogou.com/_blank" w:history="1">
        <w:r>
          <w:rPr>
            <w:rFonts w:hint="eastAsia"/>
          </w:rPr>
          <w:t>均值</w:t>
        </w:r>
      </w:hyperlink>
      <w:r>
        <w:rPr>
          <w:rFonts w:hint="eastAsia"/>
        </w:rPr>
        <w:t>是</w:t>
      </w:r>
      <w:r>
        <w:rPr>
          <w:rFonts w:hint="eastAsia"/>
        </w:rPr>
        <w:t>0</w:t>
      </w:r>
      <w:r>
        <w:rPr>
          <w:rFonts w:hint="eastAsia"/>
        </w:rPr>
        <w:t>，</w:t>
      </w:r>
      <w:hyperlink r:id="rId62" w:tgtFrame="http://baike.sogou.com/_blank" w:history="1">
        <w:r>
          <w:rPr>
            <w:rFonts w:hint="eastAsia"/>
          </w:rPr>
          <w:t>方差</w:t>
        </w:r>
      </w:hyperlink>
      <w:r>
        <w:rPr>
          <w:rFonts w:hint="eastAsia"/>
        </w:rPr>
        <w:t>为某值的白噪声序列。</w:t>
      </w:r>
    </w:p>
    <w:p w:rsidR="004165EC" w:rsidRDefault="00C97C8E">
      <w:pPr>
        <w:spacing w:line="360" w:lineRule="auto"/>
        <w:ind w:firstLineChars="200" w:firstLine="420"/>
      </w:pPr>
      <w:r>
        <w:rPr>
          <w:rFonts w:hint="eastAsia"/>
        </w:rPr>
        <w:t>白噪声序列：</w:t>
      </w:r>
      <w:hyperlink r:id="rId63" w:tgtFrame="http://baike.sogou.com/_blank" w:history="1">
        <w:r>
          <w:rPr>
            <w:rFonts w:hint="eastAsia"/>
          </w:rPr>
          <w:t>随机变量</w:t>
        </w:r>
      </w:hyperlink>
      <w:r>
        <w:rPr>
          <w:rFonts w:hint="eastAsia"/>
        </w:rPr>
        <w:t>X</w:t>
      </w:r>
      <w:r>
        <w:rPr>
          <w:rFonts w:hint="eastAsia"/>
        </w:rPr>
        <w:t>（</w:t>
      </w:r>
      <w:r>
        <w:rPr>
          <w:rFonts w:hint="eastAsia"/>
        </w:rPr>
        <w:t>t</w:t>
      </w:r>
      <w:r>
        <w:rPr>
          <w:rFonts w:hint="eastAsia"/>
        </w:rPr>
        <w:t>）</w:t>
      </w:r>
      <w:r>
        <w:rPr>
          <w:rFonts w:hint="eastAsia"/>
        </w:rPr>
        <w:t>t=1</w:t>
      </w:r>
      <w:r>
        <w:rPr>
          <w:rFonts w:hint="eastAsia"/>
        </w:rPr>
        <w:t>，</w:t>
      </w:r>
      <w:r>
        <w:rPr>
          <w:rFonts w:hint="eastAsia"/>
        </w:rPr>
        <w:t>2</w:t>
      </w:r>
      <w:r>
        <w:rPr>
          <w:rFonts w:hint="eastAsia"/>
        </w:rPr>
        <w:t>，</w:t>
      </w:r>
      <w:r>
        <w:rPr>
          <w:rFonts w:hint="eastAsia"/>
        </w:rPr>
        <w:t>3</w:t>
      </w:r>
      <w:r>
        <w:rPr>
          <w:rFonts w:hint="eastAsia"/>
        </w:rPr>
        <w:t>…，如果是由一个不相关的随机变量的序列构成的，即对于所有</w:t>
      </w:r>
      <w:r>
        <w:rPr>
          <w:rFonts w:hint="eastAsia"/>
        </w:rPr>
        <w:t>S</w:t>
      </w:r>
      <w:r>
        <w:rPr>
          <w:rFonts w:hint="eastAsia"/>
        </w:rPr>
        <w:t>不等于</w:t>
      </w:r>
      <w:r>
        <w:rPr>
          <w:rFonts w:hint="eastAsia"/>
        </w:rPr>
        <w:t>T</w:t>
      </w:r>
      <w:r>
        <w:rPr>
          <w:rFonts w:hint="eastAsia"/>
        </w:rPr>
        <w:t>，随机变量</w:t>
      </w:r>
      <w:r>
        <w:rPr>
          <w:rFonts w:hint="eastAsia"/>
        </w:rPr>
        <w:t>Xt</w:t>
      </w:r>
      <w:r>
        <w:rPr>
          <w:rFonts w:hint="eastAsia"/>
        </w:rPr>
        <w:t>和</w:t>
      </w:r>
      <w:r>
        <w:rPr>
          <w:rFonts w:hint="eastAsia"/>
        </w:rPr>
        <w:t>Xs</w:t>
      </w:r>
      <w:r>
        <w:rPr>
          <w:rFonts w:hint="eastAsia"/>
        </w:rPr>
        <w:t>的</w:t>
      </w:r>
      <w:hyperlink r:id="rId64" w:tgtFrame="http://baike.sogou.com/_blank" w:history="1">
        <w:r>
          <w:rPr>
            <w:rFonts w:hint="eastAsia"/>
          </w:rPr>
          <w:t>协方差</w:t>
        </w:r>
      </w:hyperlink>
      <w:r>
        <w:rPr>
          <w:rFonts w:hint="eastAsia"/>
        </w:rPr>
        <w:t>均为零，则称其为纯</w:t>
      </w:r>
      <w:hyperlink r:id="rId65" w:tgtFrame="http://baike.sogou.com/_blank" w:history="1">
        <w:r>
          <w:rPr>
            <w:rFonts w:hint="eastAsia"/>
          </w:rPr>
          <w:t>随机过程</w:t>
        </w:r>
      </w:hyperlink>
      <w:r>
        <w:rPr>
          <w:rFonts w:hint="eastAsia"/>
        </w:rPr>
        <w:t>。对于一个纯随机过程来说，若其期望和</w:t>
      </w:r>
      <w:hyperlink r:id="rId66" w:tgtFrame="http://baike.sogou.com/_blank" w:history="1">
        <w:r>
          <w:rPr>
            <w:rFonts w:hint="eastAsia"/>
          </w:rPr>
          <w:t>方差</w:t>
        </w:r>
      </w:hyperlink>
      <w:r>
        <w:rPr>
          <w:rFonts w:hint="eastAsia"/>
        </w:rPr>
        <w:t>均为常数，则称之为白噪声过程。白噪声过程的样本实称成为白噪声序列，简称白噪声。之所以称为白噪声，是因为他和白光的特性类似，白光的光谱在各个频率上有相同的强度，白噪声的谱密度在各个频率上的值相同。</w:t>
      </w:r>
    </w:p>
    <w:p w:rsidR="004165EC" w:rsidRDefault="00C97C8E">
      <w:pPr>
        <w:spacing w:line="360" w:lineRule="auto"/>
        <w:ind w:firstLineChars="200" w:firstLine="420"/>
      </w:pPr>
      <w:r>
        <w:rPr>
          <w:rFonts w:hint="eastAsia"/>
        </w:rPr>
        <w:t>模型建立：以收益率为判断指标，建立收益率和宏观因素的模型。</w:t>
      </w:r>
    </w:p>
    <w:p w:rsidR="004165EC" w:rsidRDefault="00C97C8E">
      <w:pPr>
        <w:spacing w:line="360" w:lineRule="auto"/>
        <w:ind w:firstLineChars="200" w:firstLine="420"/>
      </w:pPr>
      <w:r>
        <w:rPr>
          <w:rFonts w:hint="eastAsia"/>
        </w:rPr>
        <w:t>传统的基于收益率</w:t>
      </w:r>
      <w:r>
        <w:rPr>
          <w:rFonts w:hint="eastAsia"/>
        </w:rPr>
        <w:t>AR</w:t>
      </w:r>
      <w:r>
        <w:rPr>
          <w:rFonts w:hint="eastAsia"/>
        </w:rPr>
        <w:t>模型：</w:t>
      </w:r>
    </w:p>
    <w:p w:rsidR="004165EC" w:rsidRDefault="00C97C8E">
      <w:pPr>
        <w:spacing w:line="360" w:lineRule="auto"/>
      </w:pPr>
      <w:r>
        <w:rPr>
          <w:rFonts w:hint="eastAsia"/>
        </w:rPr>
        <w:t xml:space="preserve">    </w:t>
      </w:r>
      <w:r>
        <w:rPr>
          <w:rFonts w:hint="eastAsia"/>
          <w:position w:val="-52"/>
        </w:rPr>
        <w:object w:dxaOrig="6894" w:dyaOrig="1179">
          <v:shape id="图片 15" o:spid="_x0000_i1045" type="#_x0000_t75" style="width:345pt;height:59.25pt" o:ole="">
            <v:imagedata r:id="rId67" o:title=""/>
          </v:shape>
          <o:OLEObject Type="Embed" ProgID="Equation.3" ShapeID="图片 15" DrawAspect="Content" ObjectID="_1480851527" r:id="rId68"/>
        </w:object>
      </w:r>
    </w:p>
    <w:p w:rsidR="004165EC" w:rsidRDefault="00C97C8E">
      <w:pPr>
        <w:spacing w:line="360" w:lineRule="auto"/>
        <w:ind w:firstLineChars="200" w:firstLine="420"/>
      </w:pPr>
      <w:r>
        <w:rPr>
          <w:rFonts w:hint="eastAsia"/>
        </w:rPr>
        <w:t>在此基础上，加入宏观指标为外生变量的</w:t>
      </w:r>
      <w:r>
        <w:rPr>
          <w:rFonts w:hint="eastAsia"/>
        </w:rPr>
        <w:t>AR</w:t>
      </w:r>
      <w:r>
        <w:rPr>
          <w:rFonts w:hint="eastAsia"/>
        </w:rPr>
        <w:t>模型：</w:t>
      </w:r>
    </w:p>
    <w:p w:rsidR="004165EC" w:rsidRDefault="00C97C8E">
      <w:pPr>
        <w:spacing w:line="360" w:lineRule="auto"/>
        <w:ind w:firstLineChars="200" w:firstLine="420"/>
      </w:pPr>
      <w:r>
        <w:rPr>
          <w:rFonts w:hint="eastAsia"/>
        </w:rPr>
        <w:object w:dxaOrig="2940" w:dyaOrig="760">
          <v:shape id="图片 16" o:spid="_x0000_i1046" type="#_x0000_t75" style="width:147pt;height:38.25pt" o:ole="">
            <v:imagedata r:id="rId69" o:title=""/>
          </v:shape>
          <o:OLEObject Type="Embed" ProgID="Equation.3" ShapeID="图片 16" DrawAspect="Content" ObjectID="_1480851528" r:id="rId70"/>
        </w:object>
      </w:r>
    </w:p>
    <w:p w:rsidR="004165EC" w:rsidRDefault="00C97C8E">
      <w:pPr>
        <w:spacing w:line="360" w:lineRule="auto"/>
      </w:pPr>
      <w:r>
        <w:rPr>
          <w:rFonts w:hint="eastAsia"/>
        </w:rPr>
        <w:t xml:space="preserve">    </w:t>
      </w:r>
      <w:r>
        <w:rPr>
          <w:rFonts w:hint="eastAsia"/>
        </w:rPr>
        <w:t>其中</w:t>
      </w:r>
      <w:r>
        <w:rPr>
          <w:rFonts w:hint="eastAsia"/>
          <w:position w:val="-12"/>
        </w:rPr>
        <w:object w:dxaOrig="340" w:dyaOrig="379">
          <v:shape id="图片 18" o:spid="_x0000_i1047" type="#_x0000_t75" style="width:17.25pt;height:18.75pt" o:ole="">
            <v:imagedata r:id="rId71" o:title=""/>
          </v:shape>
          <o:OLEObject Type="Embed" ProgID="Equation.3" ShapeID="图片 18" DrawAspect="Content" ObjectID="_1480851529" r:id="rId72"/>
        </w:object>
      </w:r>
      <w:r>
        <w:rPr>
          <w:rFonts w:hint="eastAsia"/>
        </w:rPr>
        <w:t>为宏观指标变量以及和宏观指标有关的虚拟变量。</w:t>
      </w:r>
    </w:p>
    <w:p w:rsidR="004165EC" w:rsidRDefault="00C97C8E">
      <w:pPr>
        <w:spacing w:line="360" w:lineRule="auto"/>
        <w:ind w:firstLineChars="200" w:firstLine="420"/>
      </w:pPr>
      <w:r>
        <w:rPr>
          <w:rFonts w:hint="eastAsia"/>
        </w:rPr>
        <w:t>下一步展望：用数据进行实证分析。估计出模型的系数。将预测的收益率和同业拆解率对比，判断趋势和震荡，进一步进行交易策略设计。</w:t>
      </w:r>
    </w:p>
    <w:p w:rsidR="004165EC" w:rsidRDefault="00C97C8E">
      <w:pPr>
        <w:spacing w:line="360" w:lineRule="auto"/>
        <w:rPr>
          <w:rFonts w:ascii="宋体" w:hAnsi="宋体"/>
          <w:b/>
          <w:bCs/>
          <w:sz w:val="28"/>
          <w:szCs w:val="28"/>
        </w:rPr>
      </w:pPr>
      <w:r>
        <w:rPr>
          <w:rFonts w:ascii="宋体" w:hAnsi="宋体" w:hint="eastAsia"/>
          <w:b/>
          <w:bCs/>
          <w:sz w:val="28"/>
          <w:szCs w:val="28"/>
        </w:rPr>
        <w:t>4 交易策略选择（期限结构法）</w:t>
      </w:r>
    </w:p>
    <w:p w:rsidR="004165EC" w:rsidRDefault="00C97C8E">
      <w:pPr>
        <w:spacing w:line="360" w:lineRule="auto"/>
        <w:rPr>
          <w:rFonts w:ascii="宋体" w:hAnsi="宋体"/>
          <w:b/>
        </w:rPr>
      </w:pPr>
      <w:r>
        <w:rPr>
          <w:rFonts w:ascii="宋体" w:hAnsi="宋体" w:hint="eastAsia"/>
          <w:b/>
        </w:rPr>
        <w:t>4.1 期货价格期限结构（主成分分析方法，动态分析）</w:t>
      </w:r>
    </w:p>
    <w:p w:rsidR="004165EC" w:rsidRDefault="00C97C8E">
      <w:pPr>
        <w:spacing w:line="360" w:lineRule="auto"/>
        <w:ind w:firstLineChars="200" w:firstLine="420"/>
        <w:rPr>
          <w:rFonts w:ascii="宋体" w:hAnsi="宋体"/>
        </w:rPr>
      </w:pPr>
      <w:r>
        <w:rPr>
          <w:rFonts w:ascii="宋体" w:hAnsi="宋体" w:hint="eastAsia"/>
        </w:rPr>
        <w:t>近年来，资产价格信息含量的研究越来越受到学者们的关注，已成为金融市场重要研究领域之一。其目的是从各种金融资产的市场价格中提取出市场隐含的对各种风险和价格走向的预期，从而为投资者制定合理的投资策略及进行风险管理提供依据。</w:t>
      </w:r>
    </w:p>
    <w:p w:rsidR="004165EC" w:rsidRDefault="00C97C8E">
      <w:pPr>
        <w:spacing w:line="360" w:lineRule="auto"/>
        <w:ind w:firstLineChars="200" w:firstLine="420"/>
        <w:rPr>
          <w:rFonts w:ascii="宋体" w:hAnsi="宋体"/>
        </w:rPr>
      </w:pPr>
      <w:r>
        <w:rPr>
          <w:rFonts w:ascii="宋体" w:hAnsi="宋体" w:hint="eastAsia"/>
        </w:rPr>
        <w:t>商品期货</w:t>
      </w:r>
      <w:proofErr w:type="gramStart"/>
      <w:r>
        <w:rPr>
          <w:rFonts w:ascii="宋体" w:hAnsi="宋体" w:hint="eastAsia"/>
        </w:rPr>
        <w:t>因其套期</w:t>
      </w:r>
      <w:proofErr w:type="gramEnd"/>
      <w:r>
        <w:rPr>
          <w:rFonts w:ascii="宋体" w:hAnsi="宋体" w:hint="eastAsia"/>
        </w:rPr>
        <w:t>保值和价格发现的功能，经过几十年的发展，已成为资本市场的重要角色，也是企业制定生产决策和投资策略不可忽视的因素之一。与金融市场相比，虽然商品已具有一定的金融属性，但商品市场仍有其自身的特性。例如，大部分商品期货价格都表现出明显的季节性：商品期货通常呈现为反向市场，即近期期货合约的价格比远期期货合约的</w:t>
      </w:r>
      <w:r>
        <w:rPr>
          <w:rFonts w:ascii="宋体" w:hAnsi="宋体" w:hint="eastAsia"/>
        </w:rPr>
        <w:lastRenderedPageBreak/>
        <w:t>价格要高，而月反向市场的程度和价格的波动率基本成正比，等等。</w:t>
      </w:r>
    </w:p>
    <w:p w:rsidR="004165EC" w:rsidRDefault="00C97C8E">
      <w:pPr>
        <w:spacing w:line="360" w:lineRule="auto"/>
        <w:rPr>
          <w:rFonts w:ascii="宋体" w:hAnsi="宋体"/>
          <w:b/>
        </w:rPr>
      </w:pPr>
      <w:r>
        <w:rPr>
          <w:rFonts w:ascii="宋体" w:hAnsi="宋体" w:hint="eastAsia"/>
          <w:b/>
        </w:rPr>
        <w:t>4.1.1 期货价格期限结构简介</w:t>
      </w:r>
    </w:p>
    <w:p w:rsidR="004165EC" w:rsidRDefault="00C97C8E">
      <w:pPr>
        <w:spacing w:line="360" w:lineRule="auto"/>
        <w:ind w:firstLineChars="200" w:firstLine="420"/>
        <w:rPr>
          <w:rFonts w:ascii="宋体" w:hAnsi="宋体"/>
        </w:rPr>
      </w:pPr>
      <w:r>
        <w:rPr>
          <w:rFonts w:ascii="宋体" w:hAnsi="宋体" w:hint="eastAsia"/>
        </w:rPr>
        <w:t>期货价格的期限结构，指某一时点期货价格与不同到期期限的期货合约的关系。同时也是不同到期期限的期货合约跨期价格关系的呈现，描述了不同时点期货价格与现货价格的变动关系，同时也反映出不同到期合约期货价格与现货价格的变动关系。随着期货市场不断完善，许多期货合约到期期限越来越长，因此期限结构的概念也变得越来越重要。国内外涉及期货价格期限结构的研究主要集中在以下几个方面：</w:t>
      </w:r>
    </w:p>
    <w:p w:rsidR="004165EC" w:rsidRDefault="00C97C8E">
      <w:pPr>
        <w:spacing w:line="360" w:lineRule="auto"/>
        <w:ind w:firstLineChars="200" w:firstLine="420"/>
        <w:rPr>
          <w:rFonts w:ascii="宋体" w:hAnsi="宋体"/>
        </w:rPr>
      </w:pPr>
      <w:r>
        <w:rPr>
          <w:rFonts w:ascii="宋体" w:hAnsi="宋体" w:hint="eastAsia"/>
        </w:rPr>
        <w:t>其一，构建期限结构模型，并用于未来期货价格走势预测。这些模型考虑影响期货价格的诸多因素，如现货价格、便利收益率、利率、长期价格和季节性等。实证结果均表明：通过单因素模型得到的期限结构曲线与实际观察到的期限结构曲线吻合得较好，具有较好的预测效果。认为引进不对称便利收益能改进模型的性能。实证发现该仿射模型对沪铜是适用的，而且模型中因素数目越多，模型拟合与预测能力越强。</w:t>
      </w:r>
    </w:p>
    <w:p w:rsidR="004165EC" w:rsidRDefault="00C97C8E">
      <w:pPr>
        <w:spacing w:line="360" w:lineRule="auto"/>
        <w:ind w:firstLineChars="200" w:firstLine="420"/>
        <w:rPr>
          <w:rFonts w:ascii="宋体" w:hAnsi="宋体"/>
        </w:rPr>
      </w:pPr>
      <w:r>
        <w:rPr>
          <w:rFonts w:ascii="宋体" w:hAnsi="宋体" w:hint="eastAsia"/>
        </w:rPr>
        <w:t>其二，将主成分分析应用到商品期货价格期限结构上，考察期限结构的动态变化，进而挖掘期限结构的信息价值，以用于交易策略设计。应用主成分分析法来研究商品期货价格期限结构，发现前三个主成分能够解释期限结构的动态变化。</w:t>
      </w:r>
    </w:p>
    <w:p w:rsidR="004165EC" w:rsidRDefault="00C97C8E">
      <w:pPr>
        <w:spacing w:line="360" w:lineRule="auto"/>
        <w:ind w:firstLineChars="200" w:firstLine="420"/>
        <w:rPr>
          <w:rFonts w:ascii="宋体" w:hAnsi="宋体"/>
        </w:rPr>
      </w:pPr>
      <w:r>
        <w:rPr>
          <w:rFonts w:ascii="宋体" w:hAnsi="宋体" w:hint="eastAsia"/>
        </w:rPr>
        <w:t>本文主要应用主成分分析方法来研究期货价格期限结构，挖掘其隐含信息。</w:t>
      </w:r>
    </w:p>
    <w:p w:rsidR="004165EC" w:rsidRDefault="00C97C8E">
      <w:pPr>
        <w:spacing w:line="360" w:lineRule="auto"/>
        <w:ind w:firstLineChars="200" w:firstLine="420"/>
        <w:rPr>
          <w:rFonts w:ascii="宋体" w:hAnsi="宋体"/>
        </w:rPr>
      </w:pPr>
      <w:r>
        <w:rPr>
          <w:rFonts w:ascii="宋体" w:hAnsi="宋体" w:hint="eastAsia"/>
        </w:rPr>
        <w:t>由于不同因素可能由相同的驱动因素影响，所以主成分分析可以被用来减少特定数据</w:t>
      </w:r>
    </w:p>
    <w:p w:rsidR="004165EC" w:rsidRDefault="00C97C8E">
      <w:pPr>
        <w:spacing w:line="360" w:lineRule="auto"/>
        <w:rPr>
          <w:rFonts w:ascii="宋体" w:hAnsi="宋体"/>
        </w:rPr>
      </w:pPr>
      <w:r>
        <w:rPr>
          <w:rFonts w:ascii="宋体" w:hAnsi="宋体" w:hint="eastAsia"/>
        </w:rPr>
        <w:t>集的维数，把包含的信息浓缩到一个正交的因素中，通常少于现存的数据集。在商品期货价格的研究中，主成分分析允许把期限结构中可得的信息浓缩到相关的因素，然后我们通过主成分分析检验商品期货价格期限结构的信息内容，揭示其隐藏的信息含量。</w:t>
      </w:r>
    </w:p>
    <w:p w:rsidR="004165EC" w:rsidRDefault="00C97C8E">
      <w:pPr>
        <w:spacing w:line="360" w:lineRule="auto"/>
        <w:ind w:firstLineChars="200" w:firstLine="420"/>
        <w:rPr>
          <w:rFonts w:ascii="宋体" w:hAnsi="宋体"/>
        </w:rPr>
      </w:pPr>
      <w:r>
        <w:rPr>
          <w:rFonts w:ascii="宋体" w:hAnsi="宋体" w:hint="eastAsia"/>
        </w:rPr>
        <w:t>国外研究表明，期限结构的变动总体的方差绝大部分来自于三个因素的贡献。Litterman</w:t>
      </w:r>
    </w:p>
    <w:p w:rsidR="004165EC" w:rsidRDefault="00C97C8E">
      <w:pPr>
        <w:spacing w:line="360" w:lineRule="auto"/>
        <w:rPr>
          <w:rFonts w:ascii="宋体" w:hAnsi="宋体"/>
        </w:rPr>
      </w:pPr>
      <w:r>
        <w:rPr>
          <w:rFonts w:ascii="宋体" w:hAnsi="宋体" w:hint="eastAsia"/>
        </w:rPr>
        <w:t xml:space="preserve"> andschein</w:t>
      </w:r>
      <w:proofErr w:type="gramStart"/>
      <w:r>
        <w:rPr>
          <w:rFonts w:ascii="宋体" w:hAnsi="宋体" w:hint="eastAsia"/>
        </w:rPr>
        <w:t>腼</w:t>
      </w:r>
      <w:proofErr w:type="gramEnd"/>
      <w:r>
        <w:rPr>
          <w:rFonts w:ascii="宋体" w:hAnsi="宋体" w:hint="eastAsia"/>
        </w:rPr>
        <w:t>an(2991)[40]把这三个风险因素称为“水平因素(Level)”、“斜度因素(slope)”和“凸度因素(Curvature)”。</w:t>
      </w:r>
    </w:p>
    <w:p w:rsidR="004165EC" w:rsidRDefault="00C97C8E">
      <w:pPr>
        <w:spacing w:line="360" w:lineRule="auto"/>
        <w:ind w:firstLineChars="200" w:firstLine="420"/>
        <w:rPr>
          <w:rFonts w:ascii="宋体" w:hAnsi="宋体"/>
        </w:rPr>
      </w:pPr>
      <w:r>
        <w:rPr>
          <w:rFonts w:ascii="宋体" w:hAnsi="宋体" w:hint="eastAsia"/>
        </w:rPr>
        <w:t>水平因素对应期货价格相关系数矩阵的最大特征根，反映了平行移动的因素在期货价格期限结构曲线变动中发挥了主导作用，该因素的增加会使所有期货合约近似同等程度的增加，主要是影响现货价格的宏观因素，如经济周期，货币政策等；</w:t>
      </w:r>
    </w:p>
    <w:p w:rsidR="004165EC" w:rsidRDefault="00C97C8E">
      <w:pPr>
        <w:spacing w:line="360" w:lineRule="auto"/>
        <w:ind w:firstLineChars="200" w:firstLine="420"/>
        <w:rPr>
          <w:rFonts w:ascii="宋体" w:hAnsi="宋体"/>
        </w:rPr>
      </w:pPr>
      <w:r>
        <w:rPr>
          <w:rFonts w:ascii="宋体" w:hAnsi="宋体" w:hint="eastAsia"/>
        </w:rPr>
        <w:t>斜度因素对应第二特征根，它和期限结构曲线的倾斜程度有关，该因素使得短期期货合约和长期期货合约朝着不同的方向变化，从而将改变期限结构曲线的斜率；</w:t>
      </w:r>
    </w:p>
    <w:p w:rsidR="004165EC" w:rsidRDefault="00C97C8E">
      <w:pPr>
        <w:spacing w:line="360" w:lineRule="auto"/>
        <w:ind w:firstLineChars="200" w:firstLine="420"/>
        <w:rPr>
          <w:rFonts w:ascii="宋体" w:hAnsi="宋体"/>
        </w:rPr>
      </w:pPr>
      <w:r>
        <w:rPr>
          <w:rFonts w:ascii="宋体" w:hAnsi="宋体" w:hint="eastAsia"/>
        </w:rPr>
        <w:t>凸度因素对应第三特征根，该因素和期限结构曲线的曲率关系密切，该因素对中期产生影响，与对短期和长期的影响相反，从而改变期限结构曲线的曲率。</w:t>
      </w:r>
    </w:p>
    <w:p w:rsidR="004165EC" w:rsidRDefault="00C97C8E">
      <w:pPr>
        <w:spacing w:line="360" w:lineRule="auto"/>
        <w:rPr>
          <w:rFonts w:ascii="宋体" w:hAnsi="宋体"/>
          <w:b/>
        </w:rPr>
      </w:pPr>
      <w:r>
        <w:rPr>
          <w:rFonts w:ascii="宋体" w:hAnsi="宋体" w:hint="eastAsia"/>
          <w:b/>
        </w:rPr>
        <w:lastRenderedPageBreak/>
        <w:t>4.1.2 主成分分析简介</w:t>
      </w:r>
    </w:p>
    <w:p w:rsidR="004165EC" w:rsidRDefault="00C97C8E">
      <w:pPr>
        <w:spacing w:line="360" w:lineRule="auto"/>
        <w:ind w:firstLineChars="200" w:firstLine="420"/>
        <w:rPr>
          <w:rFonts w:ascii="宋体" w:hAnsi="宋体"/>
        </w:rPr>
      </w:pPr>
      <w:r>
        <w:rPr>
          <w:rFonts w:ascii="宋体" w:hAnsi="宋体" w:hint="eastAsia"/>
        </w:rPr>
        <w:t>主成分分析是将多个变量通过正交线性变换以选出较少个数重要变量的一种多元统计分析方法，又称主分量分析。具体的来说，主成分分析是设法将原来众多具有一定相关性</w:t>
      </w:r>
      <w:r>
        <w:rPr>
          <w:rFonts w:ascii="宋体" w:hAnsi="宋体"/>
        </w:rPr>
        <w:t>(</w:t>
      </w:r>
      <w:r>
        <w:rPr>
          <w:rFonts w:ascii="宋体" w:hAnsi="宋体" w:hint="eastAsia"/>
        </w:rPr>
        <w:t>比如p</w:t>
      </w:r>
      <w:proofErr w:type="gramStart"/>
      <w:r>
        <w:rPr>
          <w:rFonts w:ascii="宋体" w:hAnsi="宋体" w:hint="eastAsia"/>
        </w:rPr>
        <w:t>个</w:t>
      </w:r>
      <w:proofErr w:type="gramEnd"/>
      <w:r>
        <w:rPr>
          <w:rFonts w:ascii="宋体" w:hAnsi="宋体" w:hint="eastAsia"/>
        </w:rPr>
        <w:t>)指标，重新组合成一组新的互相无关的综合指标来代替原来的指标。</w:t>
      </w:r>
    </w:p>
    <w:p w:rsidR="004165EC" w:rsidRDefault="00C97C8E">
      <w:pPr>
        <w:spacing w:line="360" w:lineRule="auto"/>
        <w:ind w:firstLineChars="200" w:firstLine="420"/>
      </w:pPr>
      <w:r>
        <w:rPr>
          <w:rFonts w:ascii="宋体" w:hAnsi="宋体" w:hint="eastAsia"/>
        </w:rPr>
        <w:t>通常数学上的处理就是将原来p</w:t>
      </w:r>
      <w:proofErr w:type="gramStart"/>
      <w:r>
        <w:rPr>
          <w:rFonts w:ascii="宋体" w:hAnsi="宋体" w:hint="eastAsia"/>
        </w:rPr>
        <w:t>个</w:t>
      </w:r>
      <w:proofErr w:type="gramEnd"/>
      <w:r>
        <w:rPr>
          <w:rFonts w:ascii="宋体" w:hAnsi="宋体" w:hint="eastAsia"/>
        </w:rPr>
        <w:t>指标作线性组合，作为新的综合指标。最经典的做法就是用</w:t>
      </w:r>
      <w:r>
        <w:rPr>
          <w:rFonts w:ascii="宋体" w:hAnsi="宋体"/>
        </w:rPr>
        <w:t>F1 (</w:t>
      </w:r>
      <w:r>
        <w:rPr>
          <w:rFonts w:ascii="宋体" w:hAnsi="宋体" w:hint="eastAsia"/>
        </w:rPr>
        <w:t>选取的第一个线性组合，即第一个综合指标</w:t>
      </w:r>
      <w:r>
        <w:rPr>
          <w:rFonts w:ascii="宋体" w:hAnsi="宋体"/>
        </w:rPr>
        <w:t>)</w:t>
      </w:r>
      <w:r>
        <w:rPr>
          <w:rFonts w:ascii="宋体" w:hAnsi="宋体" w:hint="eastAsia"/>
        </w:rPr>
        <w:t>的方差来表达，即</w:t>
      </w:r>
      <w:r>
        <w:rPr>
          <w:rFonts w:ascii="宋体" w:hAnsi="宋体"/>
        </w:rPr>
        <w:t>Var(F1)</w:t>
      </w:r>
      <w:r>
        <w:rPr>
          <w:rFonts w:ascii="宋体" w:hAnsi="宋体" w:hint="eastAsia"/>
        </w:rPr>
        <w:t>越大，表示</w:t>
      </w:r>
      <w:r>
        <w:rPr>
          <w:rFonts w:ascii="宋体" w:hAnsi="宋体"/>
        </w:rPr>
        <w:t>F1</w:t>
      </w:r>
      <w:r>
        <w:rPr>
          <w:rFonts w:ascii="宋体" w:hAnsi="宋体" w:hint="eastAsia"/>
        </w:rPr>
        <w:t>包含的信息越多。因此在所有的线性组合中选取的</w:t>
      </w:r>
      <w:r>
        <w:rPr>
          <w:rFonts w:ascii="宋体" w:hAnsi="宋体"/>
        </w:rPr>
        <w:t>F1</w:t>
      </w:r>
      <w:r>
        <w:rPr>
          <w:rFonts w:ascii="宋体" w:hAnsi="宋体" w:hint="eastAsia"/>
        </w:rPr>
        <w:t>应该是方差最大的，故称</w:t>
      </w:r>
      <w:r>
        <w:rPr>
          <w:rFonts w:ascii="宋体" w:hAnsi="宋体"/>
        </w:rPr>
        <w:t>F1</w:t>
      </w:r>
      <w:r>
        <w:rPr>
          <w:rFonts w:ascii="宋体" w:hAnsi="宋体" w:hint="eastAsia"/>
        </w:rPr>
        <w:t>为第一主成分。</w:t>
      </w:r>
      <w:r>
        <w:rPr>
          <w:rFonts w:hint="eastAsia"/>
        </w:rPr>
        <w:t>如果第一主成分不足以代表原来</w:t>
      </w:r>
      <w:r>
        <w:rPr>
          <w:rFonts w:hint="eastAsia"/>
        </w:rPr>
        <w:t>p</w:t>
      </w:r>
      <w:proofErr w:type="gramStart"/>
      <w:r>
        <w:rPr>
          <w:rFonts w:hint="eastAsia"/>
        </w:rPr>
        <w:t>个</w:t>
      </w:r>
      <w:proofErr w:type="gramEnd"/>
      <w:r>
        <w:rPr>
          <w:rFonts w:hint="eastAsia"/>
        </w:rPr>
        <w:t>指标的信息，再考虑选取</w:t>
      </w:r>
      <w:r>
        <w:t>F2</w:t>
      </w:r>
      <w:r>
        <w:rPr>
          <w:rFonts w:hint="eastAsia"/>
        </w:rPr>
        <w:t>，即选第二个线性组合，为了有效地反映原来信息，</w:t>
      </w:r>
      <w:r>
        <w:t>F1</w:t>
      </w:r>
      <w:r>
        <w:rPr>
          <w:rFonts w:hint="eastAsia"/>
        </w:rPr>
        <w:t>已有的信息就不需要再出现在</w:t>
      </w:r>
      <w:r>
        <w:t>F2</w:t>
      </w:r>
      <w:r>
        <w:rPr>
          <w:rFonts w:hint="eastAsia"/>
        </w:rPr>
        <w:t>中，用数学语言表达就是要求</w:t>
      </w:r>
      <w:r>
        <w:fldChar w:fldCharType="begin"/>
      </w:r>
      <w:r>
        <w:instrText xml:space="preserve"> QUOTE </w:instrText>
      </w:r>
      <w:r>
        <w:rPr>
          <w:position w:val="-8"/>
        </w:rPr>
        <w:pict>
          <v:shape id="Picture 5" o:spid="_x0000_i1048" type="#_x0000_t75" style="width:78.75pt;height:15.75pt">
            <v:imagedata r:id="rId73" o:title="" chromakey="white"/>
          </v:shape>
        </w:pict>
      </w:r>
      <w:r>
        <w:instrText xml:space="preserve"> </w:instrText>
      </w:r>
      <w:r>
        <w:fldChar w:fldCharType="separate"/>
      </w:r>
      <w:r>
        <w:rPr>
          <w:position w:val="-8"/>
        </w:rPr>
        <w:pict>
          <v:shape id="Picture 6" o:spid="_x0000_i1049" type="#_x0000_t75" style="width:78.75pt;height:15.75pt">
            <v:imagedata r:id="rId73" o:title="" chromakey="white"/>
          </v:shape>
        </w:pict>
      </w:r>
      <w:r>
        <w:fldChar w:fldCharType="end"/>
      </w:r>
      <w:r>
        <w:rPr>
          <w:rFonts w:hint="eastAsia"/>
        </w:rPr>
        <w:t>，则称</w:t>
      </w:r>
      <w:r>
        <w:t>F2</w:t>
      </w:r>
      <w:r>
        <w:rPr>
          <w:rFonts w:hint="eastAsia"/>
        </w:rPr>
        <w:t>为第二主成分，依此类推可以构造出第三、第四</w:t>
      </w:r>
      <w:r>
        <w:t>……</w:t>
      </w:r>
      <w:r>
        <w:rPr>
          <w:rFonts w:hint="eastAsia"/>
        </w:rPr>
        <w:t>，第</w:t>
      </w:r>
      <w:r>
        <w:t>P</w:t>
      </w:r>
      <w:proofErr w:type="gramStart"/>
      <w:r>
        <w:rPr>
          <w:rFonts w:hint="eastAsia"/>
        </w:rPr>
        <w:t>个</w:t>
      </w:r>
      <w:proofErr w:type="gramEnd"/>
      <w:r>
        <w:rPr>
          <w:rFonts w:hint="eastAsia"/>
        </w:rPr>
        <w:t>主成分。具体步骤如下：</w:t>
      </w:r>
    </w:p>
    <w:p w:rsidR="004165EC" w:rsidRDefault="00C97C8E">
      <w:pPr>
        <w:spacing w:line="360" w:lineRule="auto"/>
        <w:ind w:firstLineChars="200" w:firstLine="420"/>
      </w:pPr>
      <w:r>
        <w:t>(1)</w:t>
      </w:r>
      <w:r>
        <w:rPr>
          <w:rFonts w:hint="eastAsia"/>
        </w:rPr>
        <w:t>指标的标准化</w:t>
      </w:r>
    </w:p>
    <w:p w:rsidR="004165EC" w:rsidRDefault="00C97C8E">
      <w:pPr>
        <w:spacing w:line="360" w:lineRule="auto"/>
        <w:ind w:firstLineChars="200" w:firstLine="420"/>
      </w:pPr>
      <w:r>
        <w:rPr>
          <w:rFonts w:hint="eastAsia"/>
        </w:rPr>
        <w:t>设有</w:t>
      </w:r>
      <w:r>
        <w:t>n</w:t>
      </w:r>
      <w:proofErr w:type="gramStart"/>
      <w:r>
        <w:rPr>
          <w:rFonts w:hint="eastAsia"/>
        </w:rPr>
        <w:t>个</w:t>
      </w:r>
      <w:proofErr w:type="gramEnd"/>
      <w:r>
        <w:rPr>
          <w:rFonts w:hint="eastAsia"/>
        </w:rPr>
        <w:t>样本，每个样本有</w:t>
      </w:r>
      <w:r>
        <w:t>P</w:t>
      </w:r>
      <w:proofErr w:type="gramStart"/>
      <w:r>
        <w:rPr>
          <w:rFonts w:hint="eastAsia"/>
        </w:rPr>
        <w:t>个</w:t>
      </w:r>
      <w:proofErr w:type="gramEnd"/>
      <w:r>
        <w:rPr>
          <w:rFonts w:hint="eastAsia"/>
        </w:rPr>
        <w:t>指标</w:t>
      </w:r>
      <w:r>
        <w:fldChar w:fldCharType="begin"/>
      </w:r>
      <w:r>
        <w:instrText xml:space="preserve"> QUOTE </w:instrText>
      </w:r>
      <w:r>
        <w:rPr>
          <w:position w:val="-8"/>
        </w:rPr>
        <w:pict>
          <v:shape id="Picture 7" o:spid="_x0000_i1050" type="#_x0000_t75" style="width:78.75pt;height:15.75pt">
            <v:imagedata r:id="rId74" o:title="" chromakey="white"/>
          </v:shape>
        </w:pict>
      </w:r>
      <w:r>
        <w:instrText xml:space="preserve"> </w:instrText>
      </w:r>
      <w:r>
        <w:fldChar w:fldCharType="separate"/>
      </w:r>
      <w:r>
        <w:rPr>
          <w:position w:val="-8"/>
        </w:rPr>
        <w:pict>
          <v:shape id="Picture 8" o:spid="_x0000_i1051" type="#_x0000_t75" style="width:78.75pt;height:15.75pt">
            <v:imagedata r:id="rId74" o:title="" chromakey="white"/>
          </v:shape>
        </w:pict>
      </w:r>
      <w:r>
        <w:fldChar w:fldCharType="end"/>
      </w:r>
      <w:r>
        <w:rPr>
          <w:rFonts w:hint="eastAsia"/>
        </w:rPr>
        <w:t>的值，为了排除数量级和量纲不同带来的影响，首先对原始数据作标准化处理，使得每个指标的平均值为</w:t>
      </w:r>
      <w:r>
        <w:t>0</w:t>
      </w:r>
      <w:r>
        <w:rPr>
          <w:rFonts w:hint="eastAsia"/>
        </w:rPr>
        <w:t>，方差为</w:t>
      </w:r>
      <w:r>
        <w:t>1</w:t>
      </w:r>
      <w:r>
        <w:rPr>
          <w:rFonts w:hint="eastAsia"/>
        </w:rPr>
        <w:t>，标准化公式为</w:t>
      </w:r>
      <w:r>
        <w:t>:</w:t>
      </w:r>
    </w:p>
    <w:p w:rsidR="004165EC" w:rsidRDefault="00C97C8E">
      <w:pPr>
        <w:spacing w:line="360" w:lineRule="auto"/>
      </w:pPr>
      <w:r>
        <w:pict>
          <v:shape id="Picture 9" o:spid="_x0000_i1052" type="#_x0000_t75" style="width:242.25pt;height:31.5pt">
            <v:imagedata r:id="rId75" o:title="" chromakey="white"/>
          </v:shape>
        </w:pict>
      </w:r>
    </w:p>
    <w:p w:rsidR="004165EC" w:rsidRDefault="00C97C8E">
      <w:pPr>
        <w:spacing w:line="360" w:lineRule="auto"/>
        <w:ind w:firstLineChars="200" w:firstLine="420"/>
      </w:pPr>
      <w:r>
        <w:t>(2)</w:t>
      </w:r>
      <w:r>
        <w:rPr>
          <w:rFonts w:hint="eastAsia"/>
        </w:rPr>
        <w:t>计算样本的相关矩阵</w:t>
      </w:r>
      <w:r>
        <w:rPr>
          <w:rFonts w:hint="eastAsia"/>
        </w:rPr>
        <w:t>R</w:t>
      </w:r>
    </w:p>
    <w:p w:rsidR="004165EC" w:rsidRDefault="00C97C8E">
      <w:pPr>
        <w:spacing w:line="360" w:lineRule="auto"/>
      </w:pPr>
      <w:r>
        <w:pict>
          <v:shape id="Picture 10" o:spid="_x0000_i1053" type="#_x0000_t75" style="width:165.75pt;height:46.5pt">
            <v:imagedata r:id="rId76" o:title="" chromakey="white"/>
          </v:shape>
        </w:pict>
      </w:r>
    </w:p>
    <w:p w:rsidR="004165EC" w:rsidRDefault="00C97C8E">
      <w:pPr>
        <w:spacing w:line="360" w:lineRule="auto"/>
        <w:ind w:firstLineChars="200" w:firstLine="420"/>
      </w:pPr>
      <w:r>
        <w:t>(3)</w:t>
      </w:r>
      <w:r>
        <w:rPr>
          <w:rFonts w:hint="eastAsia"/>
        </w:rPr>
        <w:t>计算相关矩阵</w:t>
      </w:r>
      <w:r>
        <w:t>R</w:t>
      </w:r>
      <w:r>
        <w:rPr>
          <w:rFonts w:hint="eastAsia"/>
        </w:rPr>
        <w:t>的特征值和对应的标准正交特征向量</w:t>
      </w:r>
    </w:p>
    <w:p w:rsidR="004165EC" w:rsidRDefault="00C97C8E">
      <w:pPr>
        <w:spacing w:line="360" w:lineRule="auto"/>
        <w:ind w:firstLineChars="200" w:firstLine="420"/>
      </w:pPr>
      <w:r>
        <w:rPr>
          <w:rFonts w:hint="eastAsia"/>
        </w:rPr>
        <w:t>计算特征值</w:t>
      </w:r>
      <w:r>
        <w:fldChar w:fldCharType="begin"/>
      </w:r>
      <w:r>
        <w:instrText xml:space="preserve"> QUOTE </w:instrText>
      </w:r>
      <w:r>
        <w:rPr>
          <w:position w:val="-8"/>
        </w:rPr>
        <w:pict>
          <v:shape id="Picture 11" o:spid="_x0000_i1054" type="#_x0000_t75" style="width:5.25pt;height:15.75pt">
            <v:imagedata r:id="rId77" o:title="" chromakey="white"/>
          </v:shape>
        </w:pict>
      </w:r>
      <w:r>
        <w:instrText xml:space="preserve"> </w:instrText>
      </w:r>
      <w:r>
        <w:fldChar w:fldCharType="separate"/>
      </w:r>
      <w:r>
        <w:rPr>
          <w:position w:val="-8"/>
        </w:rPr>
        <w:pict>
          <v:shape id="Picture 12" o:spid="_x0000_i1055" type="#_x0000_t75" style="width:5.25pt;height:15.75pt">
            <v:imagedata r:id="rId77" o:title="" chromakey="white"/>
          </v:shape>
        </w:pict>
      </w:r>
      <w:r>
        <w:fldChar w:fldCharType="end"/>
      </w:r>
      <w:r>
        <w:rPr>
          <w:rFonts w:hint="eastAsia"/>
        </w:rPr>
        <w:t>：令</w:t>
      </w:r>
      <w:r>
        <w:fldChar w:fldCharType="begin"/>
      </w:r>
      <w:r>
        <w:instrText xml:space="preserve"> QUOTE </w:instrText>
      </w:r>
      <w:r>
        <w:rPr>
          <w:position w:val="-23"/>
        </w:rPr>
        <w:pict>
          <v:shape id="Picture 13" o:spid="_x0000_i1056" type="#_x0000_t75" style="width:291pt;height:31.5pt">
            <v:imagedata r:id="rId78" o:title="" chromakey="white"/>
          </v:shape>
        </w:pict>
      </w:r>
      <w:r>
        <w:instrText xml:space="preserve"> </w:instrText>
      </w:r>
      <w:r>
        <w:fldChar w:fldCharType="separate"/>
      </w:r>
      <w:r>
        <w:rPr>
          <w:position w:val="-23"/>
        </w:rPr>
        <w:pict>
          <v:shape id="Picture 14" o:spid="_x0000_i1057" type="#_x0000_t75" style="width:291pt;height:31.5pt">
            <v:imagedata r:id="rId78" o:title="" chromakey="white"/>
          </v:shape>
        </w:pict>
      </w:r>
      <w:r>
        <w:fldChar w:fldCharType="end"/>
      </w:r>
    </w:p>
    <w:p w:rsidR="004165EC" w:rsidRDefault="00C97C8E">
      <w:pPr>
        <w:spacing w:line="360" w:lineRule="auto"/>
        <w:ind w:firstLineChars="200" w:firstLine="420"/>
      </w:pPr>
      <w:r>
        <w:rPr>
          <w:rFonts w:hint="eastAsia"/>
        </w:rPr>
        <w:t>解方程得到</w:t>
      </w:r>
      <w:r>
        <w:rPr>
          <w:rFonts w:hint="eastAsia"/>
        </w:rPr>
        <w:t>p</w:t>
      </w:r>
      <w:proofErr w:type="gramStart"/>
      <w:r>
        <w:rPr>
          <w:rFonts w:hint="eastAsia"/>
        </w:rPr>
        <w:t>个</w:t>
      </w:r>
      <w:proofErr w:type="gramEnd"/>
      <w:r>
        <w:rPr>
          <w:rFonts w:hint="eastAsia"/>
        </w:rPr>
        <w:t>非负的特征值</w:t>
      </w:r>
      <w:r>
        <w:fldChar w:fldCharType="begin"/>
      </w:r>
      <w:r>
        <w:instrText xml:space="preserve"> QUOTE </w:instrText>
      </w:r>
      <w:r>
        <w:rPr>
          <w:position w:val="-23"/>
        </w:rPr>
        <w:pict>
          <v:shape id="Picture 15" o:spid="_x0000_i1058" type="#_x0000_t75" style="width:1in;height:31.5pt">
            <v:imagedata r:id="rId79" o:title="" chromakey="white"/>
          </v:shape>
        </w:pict>
      </w:r>
      <w:r>
        <w:instrText xml:space="preserve"> </w:instrText>
      </w:r>
      <w:r>
        <w:fldChar w:fldCharType="separate"/>
      </w:r>
      <w:r>
        <w:rPr>
          <w:position w:val="-23"/>
        </w:rPr>
        <w:pict>
          <v:shape id="Picture 16" o:spid="_x0000_i1059" type="#_x0000_t75" style="width:1in;height:31.5pt">
            <v:imagedata r:id="rId79" o:title="" chromakey="white"/>
          </v:shape>
        </w:pict>
      </w:r>
      <w:r>
        <w:fldChar w:fldCharType="end"/>
      </w:r>
      <w:r>
        <w:rPr>
          <w:rFonts w:hint="eastAsia"/>
        </w:rPr>
        <w:t>，这</w:t>
      </w:r>
      <w:r>
        <w:t>p</w:t>
      </w:r>
      <w:proofErr w:type="gramStart"/>
      <w:r>
        <w:rPr>
          <w:rFonts w:hint="eastAsia"/>
        </w:rPr>
        <w:t>个</w:t>
      </w:r>
      <w:proofErr w:type="gramEnd"/>
      <w:r>
        <w:rPr>
          <w:rFonts w:hint="eastAsia"/>
        </w:rPr>
        <w:t>特征值实际上分别是主成分</w:t>
      </w:r>
      <w:r>
        <w:fldChar w:fldCharType="begin"/>
      </w:r>
      <w:r>
        <w:instrText xml:space="preserve"> QUOTE </w:instrText>
      </w:r>
      <w:r>
        <w:rPr>
          <w:position w:val="-23"/>
        </w:rPr>
        <w:pict>
          <v:shape id="Picture 17" o:spid="_x0000_i1060" type="#_x0000_t75" style="width:95.25pt;height:31.5pt">
            <v:imagedata r:id="rId80" o:title="" chromakey="white"/>
          </v:shape>
        </w:pict>
      </w:r>
      <w:r>
        <w:instrText xml:space="preserve"> </w:instrText>
      </w:r>
      <w:r>
        <w:fldChar w:fldCharType="separate"/>
      </w:r>
      <w:r>
        <w:rPr>
          <w:position w:val="-23"/>
        </w:rPr>
        <w:pict>
          <v:shape id="Picture 18" o:spid="_x0000_i1061" type="#_x0000_t75" style="width:95.25pt;height:31.5pt">
            <v:imagedata r:id="rId80" o:title="" chromakey="white"/>
          </v:shape>
        </w:pict>
      </w:r>
      <w:r>
        <w:fldChar w:fldCharType="end"/>
      </w:r>
      <w:r>
        <w:rPr>
          <w:rFonts w:hint="eastAsia"/>
        </w:rPr>
        <w:t>的方差。</w:t>
      </w:r>
    </w:p>
    <w:p w:rsidR="004165EC" w:rsidRDefault="00C97C8E">
      <w:pPr>
        <w:spacing w:line="360" w:lineRule="auto"/>
        <w:ind w:firstLineChars="200" w:firstLine="420"/>
      </w:pPr>
      <w:r>
        <w:rPr>
          <w:rFonts w:hint="eastAsia"/>
        </w:rPr>
        <w:t>计算特征值的贡献率和累计贡献率</w:t>
      </w:r>
    </w:p>
    <w:p w:rsidR="004165EC" w:rsidRDefault="00C97C8E">
      <w:pPr>
        <w:spacing w:line="360" w:lineRule="auto"/>
        <w:ind w:firstLineChars="200" w:firstLine="420"/>
      </w:pPr>
      <w:r>
        <w:rPr>
          <w:rFonts w:hint="eastAsia"/>
        </w:rPr>
        <w:t>第</w:t>
      </w:r>
      <w:r>
        <w:t>K</w:t>
      </w:r>
      <w:proofErr w:type="gramStart"/>
      <w:r>
        <w:rPr>
          <w:rFonts w:hint="eastAsia"/>
        </w:rPr>
        <w:t>个</w:t>
      </w:r>
      <w:proofErr w:type="gramEnd"/>
      <w:r>
        <w:rPr>
          <w:rFonts w:hint="eastAsia"/>
        </w:rPr>
        <w:t>主成分</w:t>
      </w:r>
      <w:r>
        <w:fldChar w:fldCharType="begin"/>
      </w:r>
      <w:r>
        <w:instrText xml:space="preserve"> QUOTE </w:instrText>
      </w:r>
      <w:r>
        <w:rPr>
          <w:position w:val="-8"/>
        </w:rPr>
        <w:pict>
          <v:shape id="Picture 19" o:spid="_x0000_i1062" type="#_x0000_t75" style="width:10.5pt;height:15.75pt">
            <v:imagedata r:id="rId81" o:title="" chromakey="white"/>
          </v:shape>
        </w:pict>
      </w:r>
      <w:r>
        <w:instrText xml:space="preserve"> </w:instrText>
      </w:r>
      <w:r>
        <w:fldChar w:fldCharType="separate"/>
      </w:r>
      <w:r>
        <w:rPr>
          <w:position w:val="-8"/>
        </w:rPr>
        <w:pict>
          <v:shape id="Picture 20" o:spid="_x0000_i1063" type="#_x0000_t75" style="width:10.5pt;height:15.75pt">
            <v:imagedata r:id="rId81" o:title="" chromakey="white"/>
          </v:shape>
        </w:pict>
      </w:r>
      <w:r>
        <w:fldChar w:fldCharType="end"/>
      </w:r>
      <w:r>
        <w:rPr>
          <w:rFonts w:hint="eastAsia"/>
        </w:rPr>
        <w:t>的方差贡献率</w:t>
      </w:r>
      <w:r>
        <w:fldChar w:fldCharType="begin"/>
      </w:r>
      <w:r>
        <w:instrText xml:space="preserve"> QUOTE </w:instrText>
      </w:r>
      <w:r>
        <w:rPr>
          <w:position w:val="-8"/>
        </w:rPr>
        <w:pict>
          <v:shape id="Picture 21" o:spid="_x0000_i1064" type="#_x0000_t75" style="width:1in;height:15.75pt">
            <v:imagedata r:id="rId82" o:title="" chromakey="white"/>
          </v:shape>
        </w:pict>
      </w:r>
      <w:r>
        <w:instrText xml:space="preserve"> </w:instrText>
      </w:r>
      <w:r>
        <w:fldChar w:fldCharType="separate"/>
      </w:r>
      <w:r>
        <w:rPr>
          <w:position w:val="-8"/>
        </w:rPr>
        <w:pict>
          <v:shape id="Picture 22" o:spid="_x0000_i1065" type="#_x0000_t75" style="width:1in;height:15.75pt">
            <v:imagedata r:id="rId82" o:title="" chromakey="white"/>
          </v:shape>
        </w:pict>
      </w:r>
      <w:r>
        <w:fldChar w:fldCharType="end"/>
      </w:r>
    </w:p>
    <w:p w:rsidR="004165EC" w:rsidRDefault="00C97C8E">
      <w:pPr>
        <w:spacing w:line="360" w:lineRule="auto"/>
        <w:ind w:firstLineChars="200" w:firstLine="420"/>
      </w:pPr>
      <w:r>
        <w:rPr>
          <w:rFonts w:hint="eastAsia"/>
        </w:rPr>
        <w:lastRenderedPageBreak/>
        <w:t>主成份</w:t>
      </w:r>
      <w:r>
        <w:fldChar w:fldCharType="begin"/>
      </w:r>
      <w:r>
        <w:instrText xml:space="preserve"> QUOTE </w:instrText>
      </w:r>
      <w:r>
        <w:rPr>
          <w:position w:val="-8"/>
        </w:rPr>
        <w:pict>
          <v:shape id="Picture 23" o:spid="_x0000_i1066" type="#_x0000_t75" style="width:97.5pt;height:15.75pt">
            <v:imagedata r:id="rId83" o:title="" chromakey="white"/>
          </v:shape>
        </w:pict>
      </w:r>
      <w:r>
        <w:instrText xml:space="preserve"> </w:instrText>
      </w:r>
      <w:r>
        <w:fldChar w:fldCharType="separate"/>
      </w:r>
      <w:r>
        <w:rPr>
          <w:position w:val="-8"/>
        </w:rPr>
        <w:pict>
          <v:shape id="Picture 24" o:spid="_x0000_i1067" type="#_x0000_t75" style="width:97.5pt;height:15.75pt">
            <v:imagedata r:id="rId83" o:title="" chromakey="white"/>
          </v:shape>
        </w:pict>
      </w:r>
      <w:r>
        <w:fldChar w:fldCharType="end"/>
      </w:r>
      <w:r>
        <w:rPr>
          <w:rFonts w:hint="eastAsia"/>
        </w:rPr>
        <w:t>的累积贡献率为</w:t>
      </w:r>
      <w:r>
        <w:fldChar w:fldCharType="begin"/>
      </w:r>
      <w:r>
        <w:instrText xml:space="preserve"> QUOTE </w:instrText>
      </w:r>
      <w:r>
        <w:rPr>
          <w:position w:val="-8"/>
        </w:rPr>
        <w:pict>
          <v:shape id="Picture 25" o:spid="_x0000_i1068" type="#_x0000_t75" style="width:67.5pt;height:15.75pt">
            <v:imagedata r:id="rId84" o:title="" chromakey="white"/>
          </v:shape>
        </w:pict>
      </w:r>
      <w:r>
        <w:instrText xml:space="preserve"> </w:instrText>
      </w:r>
      <w:r>
        <w:fldChar w:fldCharType="separate"/>
      </w:r>
      <w:r>
        <w:rPr>
          <w:position w:val="-8"/>
        </w:rPr>
        <w:pict>
          <v:shape id="Picture 26" o:spid="_x0000_i1069" type="#_x0000_t75" style="width:67.5pt;height:15.75pt">
            <v:imagedata r:id="rId84" o:title="" chromakey="white"/>
          </v:shape>
        </w:pict>
      </w:r>
      <w:r>
        <w:fldChar w:fldCharType="end"/>
      </w:r>
    </w:p>
    <w:p w:rsidR="004165EC" w:rsidRDefault="00C97C8E">
      <w:pPr>
        <w:spacing w:line="360" w:lineRule="auto"/>
        <w:ind w:firstLineChars="200" w:firstLine="420"/>
      </w:pPr>
      <w:r>
        <w:rPr>
          <w:rFonts w:hint="eastAsia"/>
        </w:rPr>
        <w:t>主成分的名义按特征值的大小排列，在实际应用中，一般取</w:t>
      </w:r>
      <w:r>
        <w:t>m(</w:t>
      </w:r>
      <w:r>
        <w:fldChar w:fldCharType="begin"/>
      </w:r>
      <w:r>
        <w:instrText xml:space="preserve"> QUOTE </w:instrText>
      </w:r>
      <w:r>
        <w:rPr>
          <w:position w:val="-8"/>
        </w:rPr>
        <w:pict>
          <v:shape id="Picture 27" o:spid="_x0000_i1070" type="#_x0000_t75" style="width:28.5pt;height:15.75pt">
            <v:imagedata r:id="rId85" o:title="" chromakey="white"/>
          </v:shape>
        </w:pict>
      </w:r>
      <w:r>
        <w:instrText xml:space="preserve"> </w:instrText>
      </w:r>
      <w:r>
        <w:fldChar w:fldCharType="separate"/>
      </w:r>
      <w:r>
        <w:rPr>
          <w:position w:val="-8"/>
        </w:rPr>
        <w:pict>
          <v:shape id="Picture 28" o:spid="_x0000_i1071" type="#_x0000_t75" style="width:28.5pt;height:15.75pt">
            <v:imagedata r:id="rId85" o:title="" chromakey="white"/>
          </v:shape>
        </w:pict>
      </w:r>
      <w:r>
        <w:fldChar w:fldCharType="end"/>
      </w:r>
      <w:r>
        <w:t>)</w:t>
      </w:r>
      <w:proofErr w:type="gramStart"/>
      <w:r>
        <w:rPr>
          <w:rFonts w:hint="eastAsia"/>
        </w:rPr>
        <w:t>个</w:t>
      </w:r>
      <w:proofErr w:type="gramEnd"/>
      <w:r>
        <w:rPr>
          <w:rFonts w:hint="eastAsia"/>
        </w:rPr>
        <w:t>主成分，且使累计贡献率全</w:t>
      </w:r>
      <w:r>
        <w:t>85%</w:t>
      </w:r>
      <w:r>
        <w:rPr>
          <w:rFonts w:hint="eastAsia"/>
        </w:rPr>
        <w:t>。</w:t>
      </w:r>
      <w:r>
        <w:t xml:space="preserve"> </w:t>
      </w:r>
      <w:r>
        <w:rPr>
          <w:rFonts w:hint="eastAsia"/>
        </w:rPr>
        <w:t>。计算特征向量</w:t>
      </w:r>
    </w:p>
    <w:p w:rsidR="004165EC" w:rsidRDefault="00C97C8E">
      <w:pPr>
        <w:spacing w:line="360" w:lineRule="auto"/>
      </w:pPr>
      <w:r>
        <w:pict>
          <v:shape id="Picture 29" o:spid="_x0000_i1072" type="#_x0000_t75" style="width:195pt;height:46.5pt">
            <v:imagedata r:id="rId86" o:title="" chromakey="white"/>
          </v:shape>
        </w:pict>
      </w:r>
    </w:p>
    <w:p w:rsidR="004165EC" w:rsidRDefault="00C97C8E">
      <w:pPr>
        <w:spacing w:line="360" w:lineRule="auto"/>
        <w:ind w:firstLineChars="200" w:firstLine="420"/>
      </w:pPr>
      <w:r>
        <w:t>(4)</w:t>
      </w:r>
      <w:r>
        <w:rPr>
          <w:rFonts w:hint="eastAsia"/>
        </w:rPr>
        <w:t>主成分</w:t>
      </w:r>
    </w:p>
    <w:p w:rsidR="004165EC" w:rsidRDefault="00C97C8E">
      <w:pPr>
        <w:spacing w:line="360" w:lineRule="auto"/>
        <w:ind w:firstLineChars="200" w:firstLine="420"/>
      </w:pPr>
      <w:r>
        <w:pict>
          <v:shape id="Picture 30" o:spid="_x0000_i1073" type="#_x0000_t75" style="width:146.25pt;height:15.75pt">
            <v:imagedata r:id="rId87" o:title="" chromakey="white"/>
          </v:shape>
        </w:pict>
      </w:r>
    </w:p>
    <w:p w:rsidR="004165EC" w:rsidRDefault="00C97C8E">
      <w:pPr>
        <w:spacing w:line="360" w:lineRule="auto"/>
        <w:ind w:firstLineChars="200" w:firstLine="420"/>
      </w:pPr>
      <w:r>
        <w:pict>
          <v:shape id="Picture 31" o:spid="_x0000_i1074" type="#_x0000_t75" style="width:147pt;height:15.75pt">
            <v:imagedata r:id="rId88" o:title="" chromakey="white"/>
          </v:shape>
        </w:pict>
      </w:r>
    </w:p>
    <w:p w:rsidR="004165EC" w:rsidRDefault="00C97C8E">
      <w:pPr>
        <w:spacing w:line="360" w:lineRule="auto"/>
        <w:ind w:firstLineChars="800" w:firstLine="1680"/>
      </w:pPr>
      <w:r>
        <w:pict>
          <v:shape id="Picture 32" o:spid="_x0000_i1075" type="#_x0000_t75" style="width:9pt;height:15.75pt">
            <v:imagedata r:id="rId89" o:title="" chromakey="white"/>
          </v:shape>
        </w:pict>
      </w:r>
    </w:p>
    <w:p w:rsidR="004165EC" w:rsidRDefault="00C97C8E">
      <w:pPr>
        <w:spacing w:line="360" w:lineRule="auto"/>
        <w:ind w:firstLineChars="200" w:firstLine="420"/>
      </w:pPr>
      <w:r>
        <w:pict>
          <v:shape id="Picture 33" o:spid="_x0000_i1076" type="#_x0000_t75" style="width:148.5pt;height:15.75pt">
            <v:imagedata r:id="rId90" o:title="" chromakey="white"/>
          </v:shape>
        </w:pict>
      </w:r>
    </w:p>
    <w:p w:rsidR="004165EC" w:rsidRDefault="00C97C8E">
      <w:pPr>
        <w:spacing w:line="360" w:lineRule="auto"/>
        <w:ind w:firstLineChars="200" w:firstLine="420"/>
      </w:pPr>
      <w:r>
        <w:t>(5)</w:t>
      </w:r>
      <w:r>
        <w:rPr>
          <w:rFonts w:hint="eastAsia"/>
        </w:rPr>
        <w:t>构造综合评价函数</w:t>
      </w:r>
    </w:p>
    <w:p w:rsidR="004165EC" w:rsidRDefault="00C97C8E">
      <w:pPr>
        <w:spacing w:line="360" w:lineRule="auto"/>
        <w:ind w:firstLineChars="200" w:firstLine="420"/>
      </w:pPr>
      <w:r>
        <w:pict>
          <v:shape id="Picture 34" o:spid="_x0000_i1077" type="#_x0000_t75" style="width:133.5pt;height:15.75pt">
            <v:imagedata r:id="rId91" o:title="" chromakey="white"/>
          </v:shape>
        </w:pict>
      </w:r>
    </w:p>
    <w:p w:rsidR="004165EC" w:rsidRDefault="00C97C8E">
      <w:pPr>
        <w:spacing w:line="360" w:lineRule="auto"/>
        <w:ind w:firstLineChars="200" w:firstLine="420"/>
      </w:pPr>
      <w:r>
        <w:pict>
          <v:shape id="Picture 35" o:spid="_x0000_i1078" type="#_x0000_t75" style="width:162.75pt;height:31.5pt">
            <v:imagedata r:id="rId92" o:title="" chromakey="white"/>
          </v:shape>
        </w:pict>
      </w:r>
    </w:p>
    <w:p w:rsidR="004165EC" w:rsidRDefault="00C97C8E">
      <w:pPr>
        <w:spacing w:line="360" w:lineRule="auto"/>
        <w:rPr>
          <w:rFonts w:ascii="宋体" w:hAnsi="宋体"/>
          <w:b/>
        </w:rPr>
      </w:pPr>
      <w:r>
        <w:rPr>
          <w:rFonts w:ascii="宋体" w:hAnsi="宋体" w:hint="eastAsia"/>
          <w:b/>
        </w:rPr>
        <w:t>4.2 实证分析</w:t>
      </w:r>
    </w:p>
    <w:p w:rsidR="004165EC" w:rsidRDefault="00C97C8E">
      <w:pPr>
        <w:spacing w:line="360" w:lineRule="auto"/>
        <w:rPr>
          <w:rFonts w:ascii="宋体" w:hAnsi="宋体"/>
          <w:b/>
        </w:rPr>
      </w:pPr>
      <w:r>
        <w:rPr>
          <w:rFonts w:ascii="宋体" w:hAnsi="宋体" w:hint="eastAsia"/>
          <w:b/>
        </w:rPr>
        <w:t>4.2.1 数据来源及处理</w:t>
      </w:r>
    </w:p>
    <w:p w:rsidR="004165EC" w:rsidRDefault="00C97C8E">
      <w:pPr>
        <w:spacing w:line="360" w:lineRule="auto"/>
        <w:ind w:firstLineChars="200" w:firstLine="420"/>
        <w:rPr>
          <w:rFonts w:ascii="宋体" w:hAnsi="宋体"/>
        </w:rPr>
      </w:pPr>
      <w:r>
        <w:rPr>
          <w:rFonts w:ascii="宋体" w:hAnsi="宋体" w:hint="eastAsia"/>
        </w:rPr>
        <w:t>以铜、豆</w:t>
      </w:r>
      <w:proofErr w:type="gramStart"/>
      <w:r>
        <w:rPr>
          <w:rFonts w:ascii="宋体" w:hAnsi="宋体" w:hint="eastAsia"/>
        </w:rPr>
        <w:t>粕</w:t>
      </w:r>
      <w:proofErr w:type="gramEnd"/>
      <w:r>
        <w:rPr>
          <w:rFonts w:ascii="宋体" w:hAnsi="宋体" w:hint="eastAsia"/>
        </w:rPr>
        <w:t>和天然橡胶期货合约为例，取样时间为从</w:t>
      </w:r>
      <w:r>
        <w:rPr>
          <w:rFonts w:ascii="宋体" w:hAnsi="宋体"/>
        </w:rPr>
        <w:t>2008</w:t>
      </w:r>
      <w:r>
        <w:rPr>
          <w:rFonts w:ascii="宋体" w:hAnsi="宋体" w:hint="eastAsia"/>
        </w:rPr>
        <w:t>年</w:t>
      </w:r>
      <w:r>
        <w:rPr>
          <w:rFonts w:ascii="宋体" w:hAnsi="宋体"/>
        </w:rPr>
        <w:t>1</w:t>
      </w:r>
      <w:r>
        <w:rPr>
          <w:rFonts w:ascii="宋体" w:hAnsi="宋体" w:hint="eastAsia"/>
        </w:rPr>
        <w:t>月</w:t>
      </w:r>
      <w:r>
        <w:rPr>
          <w:rFonts w:ascii="宋体" w:hAnsi="宋体"/>
        </w:rPr>
        <w:t>4</w:t>
      </w:r>
      <w:r>
        <w:rPr>
          <w:rFonts w:ascii="宋体" w:hAnsi="宋体" w:hint="eastAsia"/>
        </w:rPr>
        <w:t>日到</w:t>
      </w:r>
      <w:r>
        <w:rPr>
          <w:rFonts w:ascii="宋体" w:hAnsi="宋体"/>
        </w:rPr>
        <w:t>2014</w:t>
      </w:r>
      <w:r>
        <w:rPr>
          <w:rFonts w:ascii="宋体" w:hAnsi="宋体" w:hint="eastAsia"/>
        </w:rPr>
        <w:t>年</w:t>
      </w:r>
      <w:r>
        <w:rPr>
          <w:rFonts w:ascii="宋体" w:hAnsi="宋体"/>
        </w:rPr>
        <w:t>10</w:t>
      </w:r>
      <w:r>
        <w:rPr>
          <w:rFonts w:ascii="宋体" w:hAnsi="宋体" w:hint="eastAsia"/>
        </w:rPr>
        <w:t>月</w:t>
      </w:r>
      <w:r>
        <w:rPr>
          <w:rFonts w:ascii="宋体" w:hAnsi="宋体"/>
        </w:rPr>
        <w:t>29</w:t>
      </w:r>
      <w:r>
        <w:rPr>
          <w:rFonts w:ascii="宋体" w:hAnsi="宋体" w:hint="eastAsia"/>
        </w:rPr>
        <w:t>日，价格均为每个交易</w:t>
      </w:r>
      <w:proofErr w:type="gramStart"/>
      <w:r>
        <w:rPr>
          <w:rFonts w:ascii="宋体" w:hAnsi="宋体" w:hint="eastAsia"/>
        </w:rPr>
        <w:t>周最后</w:t>
      </w:r>
      <w:proofErr w:type="gramEnd"/>
      <w:r>
        <w:rPr>
          <w:rFonts w:ascii="宋体" w:hAnsi="宋体" w:hint="eastAsia"/>
        </w:rPr>
        <w:t>交易日的结算价。之所以这样选择样本，是因为</w:t>
      </w:r>
      <w:proofErr w:type="gramStart"/>
      <w:r>
        <w:rPr>
          <w:rFonts w:ascii="宋体" w:hAnsi="宋体" w:hint="eastAsia"/>
        </w:rPr>
        <w:t>日数据和月数据</w:t>
      </w:r>
      <w:proofErr w:type="gramEnd"/>
      <w:r>
        <w:rPr>
          <w:rFonts w:ascii="宋体" w:hAnsi="宋体" w:hint="eastAsia"/>
        </w:rPr>
        <w:t>相对于周数据，都有各自的缺陷，</w:t>
      </w:r>
      <w:proofErr w:type="gramStart"/>
      <w:r>
        <w:rPr>
          <w:rFonts w:ascii="宋体" w:hAnsi="宋体" w:hint="eastAsia"/>
        </w:rPr>
        <w:t>日数据</w:t>
      </w:r>
      <w:proofErr w:type="gramEnd"/>
      <w:r>
        <w:rPr>
          <w:rFonts w:ascii="宋体" w:hAnsi="宋体" w:hint="eastAsia"/>
        </w:rPr>
        <w:t>因为变化频繁，波动较大，可能会导致期货价格期限结构的信息失真，而</w:t>
      </w:r>
      <w:proofErr w:type="gramStart"/>
      <w:r>
        <w:rPr>
          <w:rFonts w:ascii="宋体" w:hAnsi="宋体" w:hint="eastAsia"/>
        </w:rPr>
        <w:t>月数据</w:t>
      </w:r>
      <w:proofErr w:type="gramEnd"/>
      <w:r>
        <w:rPr>
          <w:rFonts w:ascii="宋体" w:hAnsi="宋体" w:hint="eastAsia"/>
        </w:rPr>
        <w:t>由于时间跨度太大，又不能完全反映不同到期时间的期货合约的价格。数据来源为万德数据库。</w:t>
      </w:r>
    </w:p>
    <w:p w:rsidR="004165EC" w:rsidRDefault="00C97C8E">
      <w:pPr>
        <w:spacing w:line="360" w:lineRule="auto"/>
        <w:rPr>
          <w:rFonts w:ascii="宋体" w:hAnsi="宋体"/>
        </w:rPr>
      </w:pPr>
      <w:r>
        <w:rPr>
          <w:rFonts w:ascii="宋体" w:hAnsi="宋体" w:hint="eastAsia"/>
          <w:b/>
        </w:rPr>
        <w:t>4.2.2 期货价格时间序列和收益率时间序列</w:t>
      </w:r>
    </w:p>
    <w:p w:rsidR="004165EC" w:rsidRDefault="00C97C8E">
      <w:pPr>
        <w:spacing w:line="360" w:lineRule="auto"/>
        <w:ind w:firstLineChars="200" w:firstLine="420"/>
        <w:rPr>
          <w:rFonts w:ascii="宋体" w:hAnsi="宋体"/>
        </w:rPr>
      </w:pPr>
      <w:r>
        <w:rPr>
          <w:rFonts w:ascii="宋体" w:hAnsi="宋体" w:hint="eastAsia"/>
        </w:rPr>
        <w:t>通常期货价格时间序列是从实际期货价格按到期日延展滚动得到，本文亦采用此方法来构建。例如，第一个期货合约</w:t>
      </w:r>
      <w:r>
        <w:rPr>
          <w:rFonts w:ascii="宋体" w:hAnsi="宋体"/>
        </w:rPr>
        <w:t>F1</w:t>
      </w:r>
      <w:r>
        <w:rPr>
          <w:rFonts w:ascii="宋体" w:hAnsi="宋体" w:hint="eastAsia"/>
        </w:rPr>
        <w:t>的时间序列使用的价格数据来自当前的合约从某时到一个月到期的合约。当前合约</w:t>
      </w:r>
      <w:proofErr w:type="gramStart"/>
      <w:r>
        <w:rPr>
          <w:rFonts w:ascii="宋体" w:hAnsi="宋体" w:hint="eastAsia"/>
        </w:rPr>
        <w:t>一</w:t>
      </w:r>
      <w:proofErr w:type="gramEnd"/>
      <w:r>
        <w:rPr>
          <w:rFonts w:ascii="宋体" w:hAnsi="宋体" w:hint="eastAsia"/>
        </w:rPr>
        <w:t>到期，第一个期货合约</w:t>
      </w:r>
      <w:r>
        <w:rPr>
          <w:rFonts w:ascii="宋体" w:hAnsi="宋体"/>
        </w:rPr>
        <w:t>F1</w:t>
      </w:r>
      <w:r>
        <w:rPr>
          <w:rFonts w:ascii="宋体" w:hAnsi="宋体" w:hint="eastAsia"/>
        </w:rPr>
        <w:t>就采用第二个近期合约，从而使得第二个近期合约就变成了当前合约。同样，第二个通用合约</w:t>
      </w:r>
      <w:r>
        <w:rPr>
          <w:rFonts w:ascii="宋体" w:hAnsi="宋体"/>
        </w:rPr>
        <w:t>F2</w:t>
      </w:r>
      <w:r>
        <w:rPr>
          <w:rFonts w:ascii="宋体" w:hAnsi="宋体" w:hint="eastAsia"/>
        </w:rPr>
        <w:t>的时间序列从实际的第二个近期合约的期货价格得来。这样，完全的期货价格期限结构</w:t>
      </w:r>
      <w:r>
        <w:rPr>
          <w:rFonts w:ascii="宋体" w:hAnsi="宋体"/>
        </w:rPr>
        <w:t>(</w:t>
      </w:r>
      <w:r>
        <w:rPr>
          <w:rFonts w:ascii="宋体" w:hAnsi="宋体" w:hint="eastAsia"/>
        </w:rPr>
        <w:t>到期日</w:t>
      </w:r>
      <w:r>
        <w:rPr>
          <w:rFonts w:ascii="宋体" w:hAnsi="宋体"/>
        </w:rPr>
        <w:t>T&lt;1</w:t>
      </w:r>
      <w:r>
        <w:rPr>
          <w:rFonts w:ascii="宋体" w:hAnsi="宋体" w:hint="eastAsia"/>
        </w:rPr>
        <w:t>年</w:t>
      </w:r>
      <w:r>
        <w:rPr>
          <w:rFonts w:ascii="宋体" w:hAnsi="宋体"/>
        </w:rPr>
        <w:t>)</w:t>
      </w:r>
      <w:r>
        <w:rPr>
          <w:rFonts w:ascii="宋体" w:hAnsi="宋体" w:hint="eastAsia"/>
        </w:rPr>
        <w:t>就可以跨越到任何</w:t>
      </w:r>
      <w:r>
        <w:rPr>
          <w:rFonts w:ascii="宋体" w:hAnsi="宋体" w:hint="eastAsia"/>
        </w:rPr>
        <w:lastRenderedPageBreak/>
        <w:t>给定的时间。</w:t>
      </w:r>
    </w:p>
    <w:p w:rsidR="004165EC" w:rsidRDefault="00C97C8E">
      <w:pPr>
        <w:spacing w:line="360" w:lineRule="auto"/>
        <w:ind w:firstLineChars="200" w:firstLine="420"/>
        <w:rPr>
          <w:rFonts w:ascii="宋体" w:hAnsi="宋体"/>
        </w:rPr>
      </w:pPr>
      <w:r>
        <w:rPr>
          <w:rFonts w:ascii="宋体" w:hAnsi="宋体" w:hint="eastAsia"/>
        </w:rPr>
        <w:t>本文除了对期货价格的时间序列进行分析，还对收益率时间序列进行主成分分析。这个数据也是直接从期货价格时间序列得来的。我们计算每个到期时间序列T的收益率对数</w:t>
      </w:r>
    </w:p>
    <w:p w:rsidR="004165EC" w:rsidRDefault="00C97C8E">
      <w:pPr>
        <w:spacing w:line="360" w:lineRule="auto"/>
        <w:rPr>
          <w:rFonts w:ascii="宋体" w:hAnsi="宋体"/>
        </w:rPr>
      </w:pPr>
      <w:r>
        <w:rPr>
          <w:rFonts w:ascii="宋体" w:hAnsi="宋体" w:hint="eastAsia"/>
          <w:sz w:val="28"/>
          <w:szCs w:val="28"/>
        </w:rPr>
        <w:t>r</w:t>
      </w:r>
      <w:r>
        <w:rPr>
          <w:rFonts w:ascii="宋体" w:hAnsi="宋体" w:hint="eastAsia"/>
          <w:sz w:val="28"/>
          <w:szCs w:val="28"/>
          <w:vertAlign w:val="subscript"/>
        </w:rPr>
        <w:t>t</w:t>
      </w:r>
      <w:r>
        <w:rPr>
          <w:rFonts w:ascii="宋体" w:hAnsi="宋体" w:hint="eastAsia"/>
          <w:sz w:val="28"/>
          <w:szCs w:val="28"/>
        </w:rPr>
        <w:t>=lnF</w:t>
      </w:r>
      <w:r>
        <w:rPr>
          <w:rFonts w:ascii="宋体" w:hAnsi="宋体" w:hint="eastAsia"/>
          <w:sz w:val="28"/>
          <w:szCs w:val="28"/>
          <w:vertAlign w:val="subscript"/>
        </w:rPr>
        <w:t>t,T</w:t>
      </w:r>
      <w:r>
        <w:rPr>
          <w:rFonts w:ascii="宋体" w:hAnsi="宋体" w:hint="eastAsia"/>
          <w:sz w:val="28"/>
          <w:szCs w:val="28"/>
        </w:rPr>
        <w:t>-lnF</w:t>
      </w:r>
      <w:r>
        <w:rPr>
          <w:rFonts w:ascii="宋体" w:hAnsi="宋体" w:hint="eastAsia"/>
          <w:sz w:val="28"/>
          <w:szCs w:val="28"/>
          <w:vertAlign w:val="subscript"/>
        </w:rPr>
        <w:t>T-1,T</w:t>
      </w:r>
      <w:r>
        <w:rPr>
          <w:rFonts w:ascii="宋体" w:hAnsi="宋体" w:hint="eastAsia"/>
          <w:sz w:val="28"/>
          <w:szCs w:val="28"/>
        </w:rPr>
        <w:t>，F</w:t>
      </w:r>
      <w:r>
        <w:rPr>
          <w:rFonts w:ascii="宋体" w:hAnsi="宋体" w:hint="eastAsia"/>
          <w:sz w:val="28"/>
          <w:szCs w:val="28"/>
          <w:vertAlign w:val="subscript"/>
        </w:rPr>
        <w:t>t,T</w:t>
      </w:r>
      <w:r>
        <w:rPr>
          <w:rFonts w:ascii="宋体" w:hAnsi="宋体" w:hint="eastAsia"/>
          <w:sz w:val="28"/>
          <w:szCs w:val="28"/>
        </w:rPr>
        <w:t>和F</w:t>
      </w:r>
      <w:r>
        <w:rPr>
          <w:rFonts w:ascii="宋体" w:hAnsi="宋体" w:hint="eastAsia"/>
          <w:sz w:val="28"/>
          <w:szCs w:val="28"/>
          <w:vertAlign w:val="subscript"/>
        </w:rPr>
        <w:t>T-1,T</w:t>
      </w:r>
      <w:r>
        <w:rPr>
          <w:rFonts w:ascii="宋体" w:hAnsi="宋体" w:hint="eastAsia"/>
        </w:rPr>
        <w:t>同属于相同的期货价格时间序列。连续收益率的时间序列的非平稳假设可以被拒绝，对任何给定的合约的收益率序列都可以用于主成分分析。</w:t>
      </w:r>
    </w:p>
    <w:p w:rsidR="004165EC" w:rsidRDefault="00C97C8E">
      <w:pPr>
        <w:spacing w:line="360" w:lineRule="auto"/>
        <w:rPr>
          <w:rFonts w:ascii="宋体" w:hAnsi="宋体"/>
          <w:b/>
        </w:rPr>
      </w:pPr>
      <w:r>
        <w:rPr>
          <w:rFonts w:ascii="宋体" w:hAnsi="宋体" w:hint="eastAsia"/>
          <w:b/>
        </w:rPr>
        <w:t>4.2.3 期货价格期限结构</w:t>
      </w:r>
    </w:p>
    <w:p w:rsidR="004165EC" w:rsidRDefault="00C97C8E">
      <w:pPr>
        <w:spacing w:line="360" w:lineRule="auto"/>
        <w:rPr>
          <w:rFonts w:ascii="宋体" w:hAnsi="宋体"/>
          <w:b/>
        </w:rPr>
      </w:pPr>
      <w:r>
        <w:rPr>
          <w:rFonts w:ascii="宋体" w:hAnsi="宋体" w:hint="eastAsia"/>
          <w:b/>
        </w:rPr>
        <w:t>一、主成分静态分析</w:t>
      </w:r>
    </w:p>
    <w:p w:rsidR="004165EC" w:rsidRDefault="00C97C8E">
      <w:pPr>
        <w:spacing w:line="360" w:lineRule="auto"/>
        <w:ind w:firstLineChars="200" w:firstLine="420"/>
        <w:rPr>
          <w:rFonts w:ascii="宋体" w:hAnsi="宋体"/>
        </w:rPr>
      </w:pPr>
      <w:r>
        <w:rPr>
          <w:rFonts w:ascii="宋体" w:hAnsi="宋体" w:hint="eastAsia"/>
        </w:rPr>
        <w:t>我们分别看一下铜、豆</w:t>
      </w:r>
      <w:proofErr w:type="gramStart"/>
      <w:r>
        <w:rPr>
          <w:rFonts w:ascii="宋体" w:hAnsi="宋体" w:hint="eastAsia"/>
        </w:rPr>
        <w:t>粕</w:t>
      </w:r>
      <w:proofErr w:type="gramEnd"/>
      <w:r>
        <w:rPr>
          <w:rFonts w:ascii="宋体" w:hAnsi="宋体" w:hint="eastAsia"/>
        </w:rPr>
        <w:t>、天然橡胶、豆</w:t>
      </w:r>
      <w:proofErr w:type="gramStart"/>
      <w:r>
        <w:rPr>
          <w:rFonts w:ascii="宋体" w:hAnsi="宋体" w:hint="eastAsia"/>
        </w:rPr>
        <w:t>粕</w:t>
      </w:r>
      <w:proofErr w:type="gramEnd"/>
      <w:r>
        <w:rPr>
          <w:rFonts w:ascii="宋体" w:hAnsi="宋体" w:hint="eastAsia"/>
        </w:rPr>
        <w:t>和铝的主成分分析结果。</w:t>
      </w:r>
    </w:p>
    <w:p w:rsidR="004165EC" w:rsidRDefault="00C97C8E">
      <w:pPr>
        <w:spacing w:line="360" w:lineRule="auto"/>
        <w:ind w:firstLineChars="200" w:firstLine="420"/>
        <w:rPr>
          <w:rFonts w:ascii="宋体" w:hAnsi="宋体"/>
        </w:rPr>
      </w:pPr>
      <w:r>
        <w:rPr>
          <w:rFonts w:ascii="宋体" w:hAnsi="宋体" w:hint="eastAsia"/>
        </w:rPr>
        <w:t>期货价格时间序列的主成分解释能力（即累计方差贡献率）单位：%</w:t>
      </w: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tbl>
      <w:tblPr>
        <w:tblW w:w="8522" w:type="dxa"/>
        <w:jc w:val="center"/>
        <w:tblBorders>
          <w:top w:val="single" w:sz="8" w:space="0" w:color="4F81BD"/>
          <w:bottom w:val="single" w:sz="8" w:space="0" w:color="4F81BD"/>
        </w:tblBorders>
        <w:tblLayout w:type="fixed"/>
        <w:tblLook w:val="04A0" w:firstRow="1" w:lastRow="0" w:firstColumn="1" w:lastColumn="0" w:noHBand="0" w:noVBand="1"/>
      </w:tblPr>
      <w:tblGrid>
        <w:gridCol w:w="1704"/>
        <w:gridCol w:w="1704"/>
        <w:gridCol w:w="1704"/>
        <w:gridCol w:w="1705"/>
        <w:gridCol w:w="1705"/>
      </w:tblGrid>
      <w:tr w:rsidR="004165EC">
        <w:trPr>
          <w:jc w:val="center"/>
        </w:trPr>
        <w:tc>
          <w:tcPr>
            <w:tcW w:w="1704" w:type="dxa"/>
            <w:tcBorders>
              <w:top w:val="single" w:sz="8" w:space="0" w:color="4F81BD"/>
              <w:left w:val="nil"/>
              <w:bottom w:val="single" w:sz="8" w:space="0" w:color="4F81BD"/>
              <w:right w:val="nil"/>
              <w:tl2br w:val="nil"/>
              <w:tr2bl w:val="nil"/>
            </w:tcBorders>
          </w:tcPr>
          <w:p w:rsidR="004165EC" w:rsidRDefault="00C97C8E">
            <w:pPr>
              <w:spacing w:line="360" w:lineRule="auto"/>
              <w:jc w:val="center"/>
              <w:rPr>
                <w:rFonts w:ascii="宋体" w:hAnsi="宋体"/>
                <w:b/>
                <w:bCs/>
              </w:rPr>
            </w:pPr>
            <w:r>
              <w:rPr>
                <w:rFonts w:ascii="宋体" w:hAnsi="宋体" w:hint="eastAsia"/>
                <w:b/>
                <w:bCs/>
              </w:rPr>
              <w:t>品种</w:t>
            </w:r>
          </w:p>
        </w:tc>
        <w:tc>
          <w:tcPr>
            <w:tcW w:w="1704" w:type="dxa"/>
            <w:tcBorders>
              <w:top w:val="single" w:sz="8" w:space="0" w:color="4F81BD"/>
              <w:left w:val="nil"/>
              <w:bottom w:val="single" w:sz="8" w:space="0" w:color="4F81BD"/>
              <w:right w:val="nil"/>
              <w:tl2br w:val="nil"/>
              <w:tr2bl w:val="nil"/>
            </w:tcBorders>
          </w:tcPr>
          <w:p w:rsidR="004165EC" w:rsidRDefault="00C97C8E">
            <w:pPr>
              <w:spacing w:line="360" w:lineRule="auto"/>
              <w:jc w:val="center"/>
              <w:rPr>
                <w:rFonts w:ascii="宋体" w:hAnsi="宋体"/>
                <w:b/>
                <w:bCs/>
              </w:rPr>
            </w:pPr>
            <w:r>
              <w:rPr>
                <w:rFonts w:ascii="宋体" w:hAnsi="宋体" w:hint="eastAsia"/>
                <w:b/>
                <w:bCs/>
              </w:rPr>
              <w:t>PC1</w:t>
            </w:r>
          </w:p>
        </w:tc>
        <w:tc>
          <w:tcPr>
            <w:tcW w:w="1704" w:type="dxa"/>
            <w:tcBorders>
              <w:top w:val="single" w:sz="8" w:space="0" w:color="4F81BD"/>
              <w:left w:val="nil"/>
              <w:bottom w:val="single" w:sz="8" w:space="0" w:color="4F81BD"/>
              <w:right w:val="nil"/>
              <w:tl2br w:val="nil"/>
              <w:tr2bl w:val="nil"/>
            </w:tcBorders>
          </w:tcPr>
          <w:p w:rsidR="004165EC" w:rsidRDefault="00C97C8E">
            <w:pPr>
              <w:spacing w:line="360" w:lineRule="auto"/>
              <w:jc w:val="center"/>
              <w:rPr>
                <w:rFonts w:ascii="宋体" w:hAnsi="宋体"/>
                <w:b/>
                <w:bCs/>
              </w:rPr>
            </w:pPr>
            <w:r>
              <w:rPr>
                <w:rFonts w:ascii="宋体" w:hAnsi="宋体" w:hint="eastAsia"/>
                <w:b/>
                <w:bCs/>
              </w:rPr>
              <w:t>PC2</w:t>
            </w:r>
          </w:p>
        </w:tc>
        <w:tc>
          <w:tcPr>
            <w:tcW w:w="1705" w:type="dxa"/>
            <w:tcBorders>
              <w:top w:val="single" w:sz="8" w:space="0" w:color="4F81BD"/>
              <w:left w:val="nil"/>
              <w:bottom w:val="single" w:sz="8" w:space="0" w:color="4F81BD"/>
              <w:right w:val="nil"/>
              <w:tl2br w:val="nil"/>
              <w:tr2bl w:val="nil"/>
            </w:tcBorders>
          </w:tcPr>
          <w:p w:rsidR="004165EC" w:rsidRDefault="00C97C8E">
            <w:pPr>
              <w:spacing w:line="360" w:lineRule="auto"/>
              <w:jc w:val="center"/>
              <w:rPr>
                <w:rFonts w:ascii="宋体" w:hAnsi="宋体"/>
                <w:b/>
                <w:bCs/>
              </w:rPr>
            </w:pPr>
            <w:r>
              <w:rPr>
                <w:rFonts w:ascii="宋体" w:hAnsi="宋体" w:hint="eastAsia"/>
                <w:b/>
                <w:bCs/>
              </w:rPr>
              <w:t>PC3</w:t>
            </w:r>
          </w:p>
        </w:tc>
        <w:tc>
          <w:tcPr>
            <w:tcW w:w="1705" w:type="dxa"/>
            <w:tcBorders>
              <w:top w:val="single" w:sz="8" w:space="0" w:color="4F81BD"/>
              <w:left w:val="nil"/>
              <w:bottom w:val="single" w:sz="8" w:space="0" w:color="4F81BD"/>
              <w:right w:val="nil"/>
              <w:tl2br w:val="nil"/>
              <w:tr2bl w:val="nil"/>
            </w:tcBorders>
          </w:tcPr>
          <w:p w:rsidR="004165EC" w:rsidRDefault="00C97C8E">
            <w:pPr>
              <w:spacing w:line="360" w:lineRule="auto"/>
              <w:jc w:val="center"/>
              <w:rPr>
                <w:rFonts w:ascii="宋体" w:hAnsi="宋体"/>
                <w:b/>
                <w:bCs/>
              </w:rPr>
            </w:pPr>
            <w:r>
              <w:rPr>
                <w:rFonts w:ascii="宋体" w:hAnsi="宋体" w:hint="eastAsia"/>
                <w:b/>
                <w:bCs/>
              </w:rPr>
              <w:t>累计贡献率</w:t>
            </w:r>
          </w:p>
        </w:tc>
      </w:tr>
      <w:tr w:rsidR="004165EC">
        <w:trPr>
          <w:jc w:val="center"/>
        </w:trPr>
        <w:tc>
          <w:tcPr>
            <w:tcW w:w="1704"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b/>
                <w:bCs/>
              </w:rPr>
            </w:pPr>
            <w:r>
              <w:rPr>
                <w:rFonts w:ascii="宋体" w:hAnsi="宋体" w:hint="eastAsia"/>
                <w:b/>
                <w:bCs/>
              </w:rPr>
              <w:t>铜</w:t>
            </w:r>
          </w:p>
        </w:tc>
        <w:tc>
          <w:tcPr>
            <w:tcW w:w="1704"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rPr>
            </w:pPr>
            <w:r>
              <w:rPr>
                <w:rFonts w:ascii="宋体" w:hAnsi="宋体"/>
              </w:rPr>
              <w:t>99.0164</w:t>
            </w:r>
          </w:p>
        </w:tc>
        <w:tc>
          <w:tcPr>
            <w:tcW w:w="1704"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rPr>
            </w:pPr>
            <w:r>
              <w:rPr>
                <w:rFonts w:ascii="宋体" w:hAnsi="宋体"/>
              </w:rPr>
              <w:t>0.4532</w:t>
            </w:r>
          </w:p>
        </w:tc>
        <w:tc>
          <w:tcPr>
            <w:tcW w:w="1705"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rPr>
            </w:pPr>
            <w:r>
              <w:rPr>
                <w:rFonts w:ascii="宋体" w:hAnsi="宋体"/>
              </w:rPr>
              <w:t>0.3689</w:t>
            </w:r>
          </w:p>
        </w:tc>
        <w:tc>
          <w:tcPr>
            <w:tcW w:w="1705"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rPr>
            </w:pPr>
            <w:r>
              <w:rPr>
                <w:rFonts w:ascii="宋体" w:hAnsi="宋体"/>
              </w:rPr>
              <w:t>99.8385</w:t>
            </w:r>
          </w:p>
        </w:tc>
      </w:tr>
      <w:tr w:rsidR="004165EC">
        <w:trPr>
          <w:jc w:val="center"/>
        </w:trPr>
        <w:tc>
          <w:tcPr>
            <w:tcW w:w="1704" w:type="dxa"/>
          </w:tcPr>
          <w:p w:rsidR="004165EC" w:rsidRDefault="00C97C8E">
            <w:pPr>
              <w:spacing w:line="360" w:lineRule="auto"/>
              <w:jc w:val="center"/>
              <w:rPr>
                <w:rFonts w:ascii="宋体" w:hAnsi="宋体"/>
                <w:b/>
                <w:bCs/>
              </w:rPr>
            </w:pPr>
            <w:r>
              <w:rPr>
                <w:rFonts w:ascii="宋体" w:hAnsi="宋体" w:hint="eastAsia"/>
                <w:b/>
                <w:bCs/>
              </w:rPr>
              <w:t>豆</w:t>
            </w:r>
            <w:proofErr w:type="gramStart"/>
            <w:r>
              <w:rPr>
                <w:rFonts w:ascii="宋体" w:hAnsi="宋体" w:hint="eastAsia"/>
                <w:b/>
                <w:bCs/>
              </w:rPr>
              <w:t>粕</w:t>
            </w:r>
            <w:proofErr w:type="gramEnd"/>
          </w:p>
        </w:tc>
        <w:tc>
          <w:tcPr>
            <w:tcW w:w="1704" w:type="dxa"/>
          </w:tcPr>
          <w:p w:rsidR="004165EC" w:rsidRDefault="00C97C8E">
            <w:pPr>
              <w:spacing w:line="360" w:lineRule="auto"/>
              <w:jc w:val="center"/>
              <w:rPr>
                <w:rFonts w:ascii="宋体" w:hAnsi="宋体"/>
              </w:rPr>
            </w:pPr>
            <w:r>
              <w:rPr>
                <w:rFonts w:ascii="宋体" w:hAnsi="宋体"/>
              </w:rPr>
              <w:t>89.8078</w:t>
            </w:r>
          </w:p>
        </w:tc>
        <w:tc>
          <w:tcPr>
            <w:tcW w:w="1704" w:type="dxa"/>
          </w:tcPr>
          <w:p w:rsidR="004165EC" w:rsidRDefault="00C97C8E">
            <w:pPr>
              <w:spacing w:line="360" w:lineRule="auto"/>
              <w:jc w:val="center"/>
              <w:rPr>
                <w:rFonts w:ascii="宋体" w:hAnsi="宋体"/>
              </w:rPr>
            </w:pPr>
            <w:r>
              <w:rPr>
                <w:rFonts w:ascii="宋体" w:hAnsi="宋体"/>
              </w:rPr>
              <w:t>7.9122</w:t>
            </w:r>
          </w:p>
        </w:tc>
        <w:tc>
          <w:tcPr>
            <w:tcW w:w="1705" w:type="dxa"/>
          </w:tcPr>
          <w:p w:rsidR="004165EC" w:rsidRDefault="00C97C8E">
            <w:pPr>
              <w:spacing w:line="360" w:lineRule="auto"/>
              <w:jc w:val="center"/>
              <w:rPr>
                <w:rFonts w:ascii="宋体" w:hAnsi="宋体"/>
              </w:rPr>
            </w:pPr>
            <w:r>
              <w:rPr>
                <w:rFonts w:ascii="宋体" w:hAnsi="宋体"/>
              </w:rPr>
              <w:t>1.2410</w:t>
            </w:r>
          </w:p>
        </w:tc>
        <w:tc>
          <w:tcPr>
            <w:tcW w:w="1705" w:type="dxa"/>
          </w:tcPr>
          <w:p w:rsidR="004165EC" w:rsidRDefault="00C97C8E">
            <w:pPr>
              <w:spacing w:line="360" w:lineRule="auto"/>
              <w:jc w:val="center"/>
              <w:rPr>
                <w:rFonts w:ascii="宋体" w:hAnsi="宋体"/>
              </w:rPr>
            </w:pPr>
            <w:r>
              <w:rPr>
                <w:rFonts w:ascii="宋体" w:hAnsi="宋体"/>
              </w:rPr>
              <w:t>98.9609</w:t>
            </w:r>
          </w:p>
        </w:tc>
      </w:tr>
      <w:tr w:rsidR="004165EC">
        <w:trPr>
          <w:jc w:val="center"/>
        </w:trPr>
        <w:tc>
          <w:tcPr>
            <w:tcW w:w="1704"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b/>
                <w:bCs/>
              </w:rPr>
            </w:pPr>
            <w:r>
              <w:rPr>
                <w:rFonts w:ascii="宋体" w:hAnsi="宋体" w:hint="eastAsia"/>
                <w:b/>
                <w:bCs/>
              </w:rPr>
              <w:t>天然橡胶</w:t>
            </w:r>
          </w:p>
        </w:tc>
        <w:tc>
          <w:tcPr>
            <w:tcW w:w="1704"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rPr>
            </w:pPr>
            <w:r>
              <w:rPr>
                <w:rFonts w:ascii="宋体" w:hAnsi="宋体"/>
              </w:rPr>
              <w:t>98.8268</w:t>
            </w:r>
          </w:p>
        </w:tc>
        <w:tc>
          <w:tcPr>
            <w:tcW w:w="1704"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rPr>
            </w:pPr>
            <w:r>
              <w:rPr>
                <w:rFonts w:ascii="宋体" w:hAnsi="宋体"/>
              </w:rPr>
              <w:t>0.5203</w:t>
            </w:r>
          </w:p>
        </w:tc>
        <w:tc>
          <w:tcPr>
            <w:tcW w:w="1705"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rPr>
            </w:pPr>
            <w:r>
              <w:rPr>
                <w:rFonts w:ascii="宋体" w:hAnsi="宋体"/>
              </w:rPr>
              <w:t>0.2080</w:t>
            </w:r>
          </w:p>
        </w:tc>
        <w:tc>
          <w:tcPr>
            <w:tcW w:w="1705" w:type="dxa"/>
            <w:tcBorders>
              <w:top w:val="nil"/>
              <w:left w:val="nil"/>
              <w:bottom w:val="nil"/>
              <w:right w:val="nil"/>
              <w:tl2br w:val="nil"/>
              <w:tr2bl w:val="nil"/>
            </w:tcBorders>
            <w:shd w:val="clear" w:color="auto" w:fill="D3DFEE"/>
          </w:tcPr>
          <w:p w:rsidR="004165EC" w:rsidRDefault="00C97C8E">
            <w:pPr>
              <w:spacing w:line="360" w:lineRule="auto"/>
              <w:jc w:val="center"/>
              <w:rPr>
                <w:rFonts w:ascii="宋体" w:hAnsi="宋体"/>
              </w:rPr>
            </w:pPr>
            <w:r>
              <w:rPr>
                <w:rFonts w:ascii="宋体" w:hAnsi="宋体"/>
              </w:rPr>
              <w:t>99.5551</w:t>
            </w:r>
          </w:p>
        </w:tc>
      </w:tr>
      <w:tr w:rsidR="004165EC">
        <w:trPr>
          <w:jc w:val="center"/>
        </w:trPr>
        <w:tc>
          <w:tcPr>
            <w:tcW w:w="1704" w:type="dxa"/>
          </w:tcPr>
          <w:p w:rsidR="004165EC" w:rsidRDefault="00C97C8E">
            <w:pPr>
              <w:spacing w:line="360" w:lineRule="auto"/>
              <w:jc w:val="center"/>
              <w:rPr>
                <w:rFonts w:ascii="宋体" w:hAnsi="宋体"/>
                <w:b/>
                <w:bCs/>
              </w:rPr>
            </w:pPr>
            <w:r>
              <w:rPr>
                <w:rFonts w:ascii="宋体" w:hAnsi="宋体" w:hint="eastAsia"/>
                <w:b/>
                <w:bCs/>
              </w:rPr>
              <w:t>铝</w:t>
            </w:r>
          </w:p>
        </w:tc>
        <w:tc>
          <w:tcPr>
            <w:tcW w:w="1704" w:type="dxa"/>
          </w:tcPr>
          <w:p w:rsidR="004165EC" w:rsidRDefault="00C97C8E">
            <w:pPr>
              <w:spacing w:line="360" w:lineRule="auto"/>
              <w:jc w:val="center"/>
              <w:rPr>
                <w:rFonts w:ascii="宋体" w:hAnsi="宋体"/>
              </w:rPr>
            </w:pPr>
            <w:r>
              <w:rPr>
                <w:rFonts w:ascii="宋体" w:hAnsi="宋体"/>
              </w:rPr>
              <w:t>95.3760</w:t>
            </w:r>
          </w:p>
        </w:tc>
        <w:tc>
          <w:tcPr>
            <w:tcW w:w="1704" w:type="dxa"/>
          </w:tcPr>
          <w:p w:rsidR="004165EC" w:rsidRDefault="00C97C8E">
            <w:pPr>
              <w:spacing w:line="360" w:lineRule="auto"/>
              <w:jc w:val="center"/>
              <w:rPr>
                <w:rFonts w:ascii="宋体" w:hAnsi="宋体"/>
              </w:rPr>
            </w:pPr>
            <w:r>
              <w:rPr>
                <w:rFonts w:ascii="宋体" w:hAnsi="宋体"/>
              </w:rPr>
              <w:t>1.8272</w:t>
            </w:r>
          </w:p>
        </w:tc>
        <w:tc>
          <w:tcPr>
            <w:tcW w:w="1705" w:type="dxa"/>
          </w:tcPr>
          <w:p w:rsidR="004165EC" w:rsidRDefault="00C97C8E">
            <w:pPr>
              <w:spacing w:line="360" w:lineRule="auto"/>
              <w:jc w:val="center"/>
              <w:rPr>
                <w:rFonts w:ascii="宋体" w:hAnsi="宋体"/>
              </w:rPr>
            </w:pPr>
            <w:r>
              <w:rPr>
                <w:rFonts w:ascii="宋体" w:hAnsi="宋体"/>
              </w:rPr>
              <w:t>1.0940</w:t>
            </w:r>
          </w:p>
        </w:tc>
        <w:tc>
          <w:tcPr>
            <w:tcW w:w="1705" w:type="dxa"/>
          </w:tcPr>
          <w:p w:rsidR="004165EC" w:rsidRDefault="00C97C8E">
            <w:pPr>
              <w:spacing w:line="360" w:lineRule="auto"/>
              <w:jc w:val="center"/>
              <w:rPr>
                <w:rFonts w:ascii="宋体" w:hAnsi="宋体"/>
              </w:rPr>
            </w:pPr>
            <w:r>
              <w:rPr>
                <w:rFonts w:ascii="宋体" w:hAnsi="宋体"/>
              </w:rPr>
              <w:t>98.2972</w:t>
            </w:r>
          </w:p>
        </w:tc>
      </w:tr>
    </w:tbl>
    <w:p w:rsidR="004165EC" w:rsidRDefault="00C97C8E">
      <w:pPr>
        <w:spacing w:line="360" w:lineRule="auto"/>
        <w:ind w:firstLineChars="200" w:firstLine="420"/>
        <w:rPr>
          <w:rFonts w:ascii="宋体" w:hAnsi="宋体"/>
        </w:rPr>
      </w:pPr>
      <w:r>
        <w:rPr>
          <w:rFonts w:ascii="宋体" w:hAnsi="宋体" w:hint="eastAsia"/>
        </w:rPr>
        <w:t>1.下图分别是铜的价格时间序列和期货收益率时间序列主成分因子载荷图：</w:t>
      </w:r>
    </w:p>
    <w:p w:rsidR="004165EC" w:rsidRDefault="00C97C8E">
      <w:pPr>
        <w:spacing w:line="360" w:lineRule="auto"/>
        <w:rPr>
          <w:rFonts w:ascii="宋体" w:hAnsi="宋体"/>
        </w:rPr>
      </w:pPr>
      <w:r>
        <w:rPr>
          <w:rFonts w:ascii="宋体" w:hAnsi="宋体"/>
        </w:rPr>
        <w:pict>
          <v:shape id="Picture 256" o:spid="_x0000_s1086" type="#_x0000_t75" style="position:absolute;left:0;text-align:left;margin-left:226.75pt;margin-top:-5.05pt;width:206.5pt;height:137.65pt;z-index:2">
            <v:imagedata r:id="rId93" o:title=""/>
          </v:shape>
        </w:pict>
      </w:r>
      <w:r>
        <w:rPr>
          <w:rFonts w:ascii="宋体" w:hAnsi="宋体"/>
        </w:rPr>
        <w:pict>
          <v:shape id="图表 7" o:spid="_x0000_s1087" type="#_x0000_t75" style="position:absolute;left:0;text-align:left;margin-left:0;margin-top:-5.05pt;width:226.75pt;height:136.25pt;z-index:1">
            <v:imagedata r:id="rId94" o:title=""/>
          </v:shape>
        </w:pict>
      </w: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C97C8E">
      <w:pPr>
        <w:spacing w:line="360" w:lineRule="auto"/>
        <w:ind w:firstLineChars="200" w:firstLine="420"/>
        <w:rPr>
          <w:rFonts w:ascii="宋体" w:hAnsi="宋体"/>
        </w:rPr>
      </w:pPr>
      <w:r>
        <w:rPr>
          <w:rFonts w:ascii="宋体" w:hAnsi="宋体" w:hint="eastAsia"/>
        </w:rPr>
        <w:t>2.下图分别是豆</w:t>
      </w:r>
      <w:proofErr w:type="gramStart"/>
      <w:r>
        <w:rPr>
          <w:rFonts w:ascii="宋体" w:hAnsi="宋体" w:hint="eastAsia"/>
        </w:rPr>
        <w:t>粕</w:t>
      </w:r>
      <w:proofErr w:type="gramEnd"/>
      <w:r>
        <w:rPr>
          <w:rFonts w:ascii="宋体" w:hAnsi="宋体" w:hint="eastAsia"/>
        </w:rPr>
        <w:t>价格时间序列和收益率时间序列的主成分因子载荷图：</w:t>
      </w:r>
    </w:p>
    <w:p w:rsidR="004165EC" w:rsidRDefault="00C97C8E">
      <w:pPr>
        <w:spacing w:line="360" w:lineRule="auto"/>
        <w:rPr>
          <w:rFonts w:ascii="宋体" w:hAnsi="宋体"/>
        </w:rPr>
      </w:pPr>
      <w:r>
        <w:pict>
          <v:shape id="图表 5" o:spid="_x0000_s1088" type="#_x0000_t75" style="position:absolute;left:0;text-align:left;margin-left:226.75pt;margin-top:1.4pt;width:226.75pt;height:136.05pt;z-index:4">
            <v:imagedata r:id="rId95" o:title=""/>
          </v:shape>
        </w:pict>
      </w:r>
      <w:r>
        <w:pict>
          <v:shape id="图表 4" o:spid="_x0000_s1089" type="#_x0000_t75" style="position:absolute;left:0;text-align:left;margin-left:0;margin-top:1.4pt;width:226.75pt;height:136.05pt;z-index:3">
            <v:imagedata r:id="rId96" o:title=""/>
          </v:shape>
        </w:pict>
      </w:r>
    </w:p>
    <w:p w:rsidR="004165EC" w:rsidRDefault="004165EC">
      <w:pPr>
        <w:spacing w:line="360" w:lineRule="auto"/>
        <w:rPr>
          <w:rFonts w:ascii="宋体" w:hAnsi="宋体"/>
        </w:rPr>
      </w:pPr>
    </w:p>
    <w:p w:rsidR="004165EC" w:rsidRDefault="00C97C8E">
      <w:pPr>
        <w:spacing w:line="360" w:lineRule="auto"/>
        <w:ind w:firstLineChars="200" w:firstLine="420"/>
        <w:rPr>
          <w:rFonts w:ascii="宋体" w:hAnsi="宋体"/>
        </w:rPr>
      </w:pPr>
      <w:r>
        <w:rPr>
          <w:rFonts w:ascii="宋体" w:hAnsi="宋体" w:hint="eastAsia"/>
        </w:rPr>
        <w:t>（2）豆</w:t>
      </w:r>
      <w:proofErr w:type="gramStart"/>
      <w:r>
        <w:rPr>
          <w:rFonts w:ascii="宋体" w:hAnsi="宋体" w:hint="eastAsia"/>
        </w:rPr>
        <w:t>粕</w:t>
      </w:r>
      <w:proofErr w:type="gramEnd"/>
      <w:r>
        <w:rPr>
          <w:rFonts w:ascii="宋体" w:hAnsi="宋体" w:hint="eastAsia"/>
        </w:rPr>
        <w:t>期货收益率时间序列主成分因子载荷图</w:t>
      </w:r>
    </w:p>
    <w:p w:rsidR="004165EC" w:rsidRDefault="004165EC">
      <w:pPr>
        <w:spacing w:line="360" w:lineRule="auto"/>
      </w:pPr>
    </w:p>
    <w:p w:rsidR="004165EC" w:rsidRDefault="004165EC">
      <w:pPr>
        <w:spacing w:line="360" w:lineRule="auto"/>
      </w:pPr>
    </w:p>
    <w:p w:rsidR="004165EC" w:rsidRDefault="00C97C8E">
      <w:pPr>
        <w:spacing w:line="360" w:lineRule="auto"/>
        <w:ind w:firstLineChars="200" w:firstLine="422"/>
        <w:rPr>
          <w:rFonts w:ascii="宋体" w:hAnsi="宋体"/>
          <w:b/>
          <w:bCs/>
        </w:rPr>
      </w:pPr>
      <w:r>
        <w:rPr>
          <w:rFonts w:ascii="宋体" w:hAnsi="宋体" w:hint="eastAsia"/>
          <w:b/>
          <w:bCs/>
        </w:rPr>
        <w:lastRenderedPageBreak/>
        <w:t>（3）天然橡胶的收益率时间序列分析</w:t>
      </w:r>
    </w:p>
    <w:p w:rsidR="004165EC" w:rsidRDefault="00C97C8E">
      <w:pPr>
        <w:spacing w:line="360" w:lineRule="auto"/>
        <w:ind w:firstLineChars="200" w:firstLine="420"/>
        <w:rPr>
          <w:rFonts w:ascii="宋体" w:hAnsi="宋体"/>
        </w:rPr>
      </w:pPr>
      <w:r>
        <w:pict>
          <v:shape id="Picture 262" o:spid="_x0000_s1090" type="#_x0000_t75" style="position:absolute;left:0;text-align:left;margin-left:220pt;margin-top:21.35pt;width:226.75pt;height:136.05pt;z-index:6">
            <v:imagedata r:id="rId97" o:title=""/>
          </v:shape>
        </w:pict>
      </w:r>
      <w:r>
        <w:rPr>
          <w:rFonts w:ascii="宋体" w:hAnsi="宋体" w:hint="eastAsia"/>
        </w:rPr>
        <w:t>3.下图分别是天然橡胶价格时间序列和收益率时间序列主成分因子载荷图：</w:t>
      </w:r>
      <w:r>
        <w:pict>
          <v:shape id="Picture 261" o:spid="_x0000_s1091" type="#_x0000_t75" style="position:absolute;left:0;text-align:left;margin-left:-6.75pt;margin-top:21.35pt;width:226.75pt;height:136.05pt;z-index:5;mso-position-horizontal-relative:text;mso-position-vertical-relative:text">
            <v:imagedata r:id="rId98" o:title=""/>
          </v:shape>
        </w:pict>
      </w: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C97C8E">
      <w:pPr>
        <w:spacing w:line="360" w:lineRule="auto"/>
        <w:rPr>
          <w:rFonts w:ascii="宋体" w:hAnsi="宋体"/>
        </w:rPr>
      </w:pPr>
      <w:r>
        <w:rPr>
          <w:rFonts w:ascii="宋体" w:hAnsi="宋体" w:hint="eastAsia"/>
        </w:rPr>
        <w:t xml:space="preserve">    由此可以总结出，商品期货价格和收益率的主成分分析结果有四个共同特征:</w:t>
      </w:r>
    </w:p>
    <w:p w:rsidR="004165EC" w:rsidRDefault="00C97C8E">
      <w:pPr>
        <w:spacing w:line="360" w:lineRule="auto"/>
        <w:ind w:firstLineChars="200" w:firstLine="420"/>
        <w:rPr>
          <w:rFonts w:ascii="宋体" w:hAnsi="宋体"/>
        </w:rPr>
      </w:pPr>
      <w:r>
        <w:rPr>
          <w:rFonts w:ascii="宋体" w:hAnsi="宋体" w:hint="eastAsia"/>
        </w:rPr>
        <w:t>1.第一主成分的因子载荷图近似是一条水平的直线，因此第一主成分因子对任何合约的</w:t>
      </w:r>
      <w:proofErr w:type="gramStart"/>
      <w:r>
        <w:rPr>
          <w:rFonts w:ascii="宋体" w:hAnsi="宋体" w:hint="eastAsia"/>
        </w:rPr>
        <w:t>的</w:t>
      </w:r>
      <w:proofErr w:type="gramEnd"/>
      <w:r>
        <w:rPr>
          <w:rFonts w:ascii="宋体" w:hAnsi="宋体" w:hint="eastAsia"/>
        </w:rPr>
        <w:t>影响大致相同，这个效应可以被解释为曲线的平行移动</w:t>
      </w:r>
      <w:r>
        <w:rPr>
          <w:rFonts w:ascii="宋体" w:hAnsi="宋体" w:hint="eastAsia"/>
          <w:color w:val="FF0000"/>
        </w:rPr>
        <w:t>。</w:t>
      </w:r>
      <w:r>
        <w:rPr>
          <w:rFonts w:ascii="宋体" w:hAnsi="宋体" w:hint="eastAsia"/>
        </w:rPr>
        <w:t>第一主成分因子的解释能力是最重要的，其期货价格时间序列的第一主成分解释能力都超过89%。</w:t>
      </w:r>
    </w:p>
    <w:p w:rsidR="004165EC" w:rsidRDefault="00C97C8E">
      <w:pPr>
        <w:spacing w:line="360" w:lineRule="auto"/>
        <w:ind w:firstLineChars="200" w:firstLine="420"/>
        <w:rPr>
          <w:rFonts w:ascii="宋体" w:hAnsi="宋体"/>
          <w:color w:val="FF0000"/>
        </w:rPr>
      </w:pPr>
      <w:r>
        <w:rPr>
          <w:rFonts w:ascii="宋体" w:hAnsi="宋体" w:hint="eastAsia"/>
        </w:rPr>
        <w:t xml:space="preserve"> 2.观察第二主成分因子载荷图，可以看出其斜率要么为正要么为负。说明该主成分因子的变化对短期合约与长期合约的影响方向相反，因此是期限结构曲线发生相对移动的最好写照，因此称为斜率因素。</w:t>
      </w:r>
    </w:p>
    <w:p w:rsidR="004165EC" w:rsidRDefault="00C97C8E">
      <w:pPr>
        <w:spacing w:line="360" w:lineRule="auto"/>
        <w:ind w:firstLineChars="200" w:firstLine="420"/>
        <w:rPr>
          <w:rFonts w:ascii="宋体" w:hAnsi="宋体"/>
        </w:rPr>
      </w:pPr>
      <w:r>
        <w:rPr>
          <w:rFonts w:ascii="宋体" w:hAnsi="宋体" w:hint="eastAsia"/>
        </w:rPr>
        <w:t>3.第三主成分的解释能力相对较小，特别是在期货价格的时间序列的主成分分析</w:t>
      </w:r>
    </w:p>
    <w:p w:rsidR="004165EC" w:rsidRDefault="00C97C8E">
      <w:pPr>
        <w:spacing w:line="360" w:lineRule="auto"/>
        <w:rPr>
          <w:rFonts w:ascii="宋体" w:hAnsi="宋体"/>
        </w:rPr>
      </w:pPr>
      <w:r>
        <w:rPr>
          <w:rFonts w:ascii="宋体" w:hAnsi="宋体" w:hint="eastAsia"/>
        </w:rPr>
        <w:t>结果中，有些品种几乎可以忽略。如果我们绘制它的因子载荷图，发现它是个</w:t>
      </w:r>
      <w:proofErr w:type="gramStart"/>
      <w:r>
        <w:rPr>
          <w:rFonts w:ascii="宋体" w:hAnsi="宋体" w:hint="eastAsia"/>
        </w:rPr>
        <w:t>凸</w:t>
      </w:r>
      <w:proofErr w:type="gramEnd"/>
      <w:r>
        <w:rPr>
          <w:rFonts w:ascii="宋体" w:hAnsi="宋体" w:hint="eastAsia"/>
        </w:rPr>
        <w:t>(或倒</w:t>
      </w:r>
      <w:proofErr w:type="gramStart"/>
      <w:r>
        <w:rPr>
          <w:rFonts w:ascii="宋体" w:hAnsi="宋体" w:hint="eastAsia"/>
        </w:rPr>
        <w:t>凸</w:t>
      </w:r>
      <w:proofErr w:type="gramEnd"/>
      <w:r>
        <w:rPr>
          <w:rFonts w:ascii="宋体" w:hAnsi="宋体" w:hint="eastAsia"/>
        </w:rPr>
        <w:t>)</w:t>
      </w:r>
    </w:p>
    <w:p w:rsidR="004165EC" w:rsidRDefault="00C97C8E">
      <w:pPr>
        <w:spacing w:line="360" w:lineRule="auto"/>
        <w:rPr>
          <w:rFonts w:ascii="宋体" w:hAnsi="宋体"/>
        </w:rPr>
      </w:pPr>
      <w:r>
        <w:rPr>
          <w:rFonts w:ascii="宋体" w:hAnsi="宋体" w:hint="eastAsia"/>
        </w:rPr>
        <w:t>的形状。由于它使中间到期日期货的价格和收益率向到期日长和短的反方向移动，它被称</w:t>
      </w:r>
    </w:p>
    <w:p w:rsidR="004165EC" w:rsidRDefault="00C97C8E">
      <w:pPr>
        <w:spacing w:line="360" w:lineRule="auto"/>
        <w:rPr>
          <w:rFonts w:ascii="宋体" w:hAnsi="宋体"/>
        </w:rPr>
      </w:pPr>
      <w:r>
        <w:rPr>
          <w:rFonts w:ascii="宋体" w:hAnsi="宋体" w:hint="eastAsia"/>
        </w:rPr>
        <w:t>做凸度因素。</w:t>
      </w:r>
    </w:p>
    <w:p w:rsidR="004165EC" w:rsidRDefault="00C97C8E">
      <w:pPr>
        <w:spacing w:line="360" w:lineRule="auto"/>
        <w:ind w:firstLineChars="200" w:firstLine="420"/>
        <w:rPr>
          <w:rFonts w:ascii="宋体" w:hAnsi="宋体"/>
        </w:rPr>
      </w:pPr>
      <w:r>
        <w:rPr>
          <w:rFonts w:ascii="宋体" w:hAnsi="宋体" w:hint="eastAsia"/>
        </w:rPr>
        <w:t>4.进一步的主成分基本没有解释能力。特别是期货价格时间序列，前三个主成分</w:t>
      </w:r>
    </w:p>
    <w:p w:rsidR="004165EC" w:rsidRDefault="00C97C8E">
      <w:pPr>
        <w:spacing w:line="360" w:lineRule="auto"/>
        <w:rPr>
          <w:rFonts w:ascii="宋体" w:hAnsi="宋体"/>
        </w:rPr>
      </w:pPr>
      <w:r>
        <w:rPr>
          <w:rFonts w:ascii="宋体" w:hAnsi="宋体" w:hint="eastAsia"/>
        </w:rPr>
        <w:t>解释了总方差的98%以上，累计贡献率大大超过85%。而收益率序列前三成分的解释能力</w:t>
      </w:r>
    </w:p>
    <w:p w:rsidR="004165EC" w:rsidRDefault="00C97C8E">
      <w:pPr>
        <w:spacing w:line="360" w:lineRule="auto"/>
        <w:rPr>
          <w:rFonts w:ascii="宋体" w:hAnsi="宋体"/>
        </w:rPr>
      </w:pPr>
      <w:r>
        <w:rPr>
          <w:rFonts w:ascii="宋体" w:hAnsi="宋体" w:hint="eastAsia"/>
        </w:rPr>
        <w:t>要比期货价格时间序列低。</w:t>
      </w:r>
    </w:p>
    <w:p w:rsidR="004165EC" w:rsidRDefault="00C97C8E">
      <w:pPr>
        <w:spacing w:line="360" w:lineRule="auto"/>
        <w:ind w:firstLineChars="200" w:firstLine="420"/>
        <w:rPr>
          <w:rFonts w:ascii="宋体" w:hAnsi="宋体"/>
        </w:rPr>
      </w:pPr>
      <w:r>
        <w:rPr>
          <w:rFonts w:ascii="宋体" w:hAnsi="宋体" w:hint="eastAsia"/>
        </w:rPr>
        <w:t>这些发现从经济角度可以解释为，所有商品期货价格主要受期限结构的平行移动影响。主成分</w:t>
      </w:r>
      <w:r>
        <w:rPr>
          <w:rFonts w:ascii="宋体" w:hAnsi="宋体"/>
        </w:rPr>
        <w:t>1</w:t>
      </w:r>
      <w:r>
        <w:rPr>
          <w:rFonts w:ascii="宋体" w:hAnsi="宋体" w:hint="eastAsia"/>
        </w:rPr>
        <w:t>可以解释为宏观经济影响，主成分</w:t>
      </w:r>
      <w:r>
        <w:rPr>
          <w:rFonts w:ascii="宋体" w:hAnsi="宋体"/>
        </w:rPr>
        <w:t>2</w:t>
      </w:r>
      <w:r>
        <w:rPr>
          <w:rFonts w:ascii="宋体" w:hAnsi="宋体" w:hint="eastAsia"/>
        </w:rPr>
        <w:t>可以解释为期货预期价格影响，主成分</w:t>
      </w:r>
      <w:r>
        <w:rPr>
          <w:rFonts w:ascii="宋体" w:hAnsi="宋体"/>
        </w:rPr>
        <w:t>3</w:t>
      </w:r>
      <w:r>
        <w:rPr>
          <w:rFonts w:ascii="宋体" w:hAnsi="宋体" w:hint="eastAsia"/>
        </w:rPr>
        <w:t>由于影响较小，定为其他影响。</w:t>
      </w:r>
    </w:p>
    <w:p w:rsidR="004165EC" w:rsidRDefault="00C97C8E">
      <w:pPr>
        <w:spacing w:line="360" w:lineRule="auto"/>
        <w:rPr>
          <w:rFonts w:ascii="宋体" w:hAnsi="宋体"/>
          <w:b/>
        </w:rPr>
      </w:pPr>
      <w:r>
        <w:rPr>
          <w:rFonts w:ascii="宋体" w:hAnsi="宋体" w:hint="eastAsia"/>
          <w:b/>
        </w:rPr>
        <w:t>二、滚动主成分分析</w:t>
      </w:r>
    </w:p>
    <w:p w:rsidR="004165EC" w:rsidRDefault="00C97C8E">
      <w:pPr>
        <w:spacing w:line="360" w:lineRule="auto"/>
        <w:ind w:firstLineChars="200" w:firstLine="420"/>
        <w:rPr>
          <w:rFonts w:ascii="宋体" w:hAnsi="宋体"/>
        </w:rPr>
      </w:pPr>
      <w:r>
        <w:rPr>
          <w:rFonts w:ascii="宋体" w:hAnsi="宋体" w:hint="eastAsia"/>
        </w:rPr>
        <w:t>为了检验主成分分析结果的稳定性，我们进一步以前</w:t>
      </w:r>
      <w:r>
        <w:rPr>
          <w:rFonts w:ascii="宋体" w:hAnsi="宋体"/>
        </w:rPr>
        <w:t>249</w:t>
      </w:r>
      <w:r>
        <w:rPr>
          <w:rFonts w:ascii="宋体" w:hAnsi="宋体" w:hint="eastAsia"/>
        </w:rPr>
        <w:t>周作为初始时段进行滚动主成分分析，每次向前滚动一周，共形成</w:t>
      </w:r>
      <w:r>
        <w:rPr>
          <w:rFonts w:ascii="宋体" w:hAnsi="宋体"/>
        </w:rPr>
        <w:t>80</w:t>
      </w:r>
      <w:r>
        <w:rPr>
          <w:rFonts w:ascii="宋体" w:hAnsi="宋体" w:hint="eastAsia"/>
        </w:rPr>
        <w:t>个数据集，进行</w:t>
      </w:r>
      <w:r>
        <w:rPr>
          <w:rFonts w:ascii="宋体" w:hAnsi="宋体"/>
        </w:rPr>
        <w:t>80</w:t>
      </w:r>
      <w:r>
        <w:rPr>
          <w:rFonts w:ascii="宋体" w:hAnsi="宋体" w:hint="eastAsia"/>
        </w:rPr>
        <w:t>次滚动主成分分析。滚动主成分分析考察了我们提取的主成分的解释力在样本期内随着时间的变动是否具有稳定性。结果如下（单位：%）：</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2130"/>
        <w:gridCol w:w="2131"/>
        <w:gridCol w:w="2131"/>
      </w:tblGrid>
      <w:tr w:rsidR="004165EC">
        <w:tc>
          <w:tcPr>
            <w:tcW w:w="2130" w:type="dxa"/>
            <w:vMerge w:val="restart"/>
            <w:tcBorders>
              <w:top w:val="single" w:sz="8" w:space="0" w:color="4F81BD"/>
              <w:left w:val="dotted" w:sz="8" w:space="0" w:color="auto"/>
              <w:right w:val="dotted" w:sz="8" w:space="0" w:color="auto"/>
            </w:tcBorders>
            <w:shd w:val="clear" w:color="auto" w:fill="FFFFFF"/>
          </w:tcPr>
          <w:p w:rsidR="004165EC" w:rsidRDefault="00C97C8E">
            <w:pPr>
              <w:spacing w:line="360" w:lineRule="auto"/>
              <w:rPr>
                <w:rFonts w:ascii="宋体" w:hAnsi="宋体" w:cs="宋体"/>
                <w:b/>
                <w:bCs/>
                <w:color w:val="000000"/>
                <w:szCs w:val="21"/>
              </w:rPr>
            </w:pPr>
            <w:r>
              <w:rPr>
                <w:rFonts w:ascii="宋体" w:hAnsi="宋体" w:cs="宋体" w:hint="eastAsia"/>
                <w:b/>
                <w:bCs/>
                <w:color w:val="000000"/>
                <w:szCs w:val="21"/>
              </w:rPr>
              <w:lastRenderedPageBreak/>
              <w:t>品种</w:t>
            </w:r>
          </w:p>
        </w:tc>
        <w:tc>
          <w:tcPr>
            <w:tcW w:w="6392" w:type="dxa"/>
            <w:gridSpan w:val="3"/>
            <w:tcBorders>
              <w:top w:val="single" w:sz="8" w:space="0" w:color="4F81BD"/>
              <w:left w:val="dotted" w:sz="8" w:space="0" w:color="auto"/>
              <w:bottom w:val="single" w:sz="8" w:space="0" w:color="4F81BD"/>
              <w:right w:val="dotted" w:sz="8" w:space="0" w:color="auto"/>
            </w:tcBorders>
            <w:shd w:val="clear" w:color="auto" w:fill="FFFFFF"/>
          </w:tcPr>
          <w:p w:rsidR="004165EC" w:rsidRDefault="00C97C8E">
            <w:pPr>
              <w:spacing w:line="360" w:lineRule="auto"/>
              <w:jc w:val="center"/>
              <w:rPr>
                <w:rFonts w:ascii="宋体" w:hAnsi="宋体" w:cs="宋体"/>
                <w:b/>
                <w:bCs/>
                <w:color w:val="000000"/>
                <w:szCs w:val="21"/>
              </w:rPr>
            </w:pPr>
            <w:r>
              <w:rPr>
                <w:rFonts w:ascii="宋体" w:hAnsi="宋体" w:cs="宋体" w:hint="eastAsia"/>
                <w:b/>
                <w:bCs/>
                <w:color w:val="000000"/>
                <w:szCs w:val="21"/>
              </w:rPr>
              <w:t>收益率</w:t>
            </w:r>
          </w:p>
        </w:tc>
      </w:tr>
      <w:tr w:rsidR="004165EC">
        <w:tc>
          <w:tcPr>
            <w:tcW w:w="2130" w:type="dxa"/>
            <w:vMerge/>
            <w:tcBorders>
              <w:left w:val="dotted" w:sz="8" w:space="0" w:color="auto"/>
              <w:bottom w:val="single" w:sz="8" w:space="0" w:color="4F81BD"/>
              <w:right w:val="dotted" w:sz="8" w:space="0" w:color="auto"/>
            </w:tcBorders>
            <w:shd w:val="clear" w:color="auto" w:fill="FFFFFF"/>
          </w:tcPr>
          <w:p w:rsidR="004165EC" w:rsidRDefault="004165EC">
            <w:pPr>
              <w:spacing w:line="360" w:lineRule="auto"/>
              <w:jc w:val="center"/>
              <w:rPr>
                <w:rFonts w:ascii="宋体" w:hAnsi="宋体" w:cs="宋体"/>
                <w:b/>
                <w:color w:val="000000"/>
                <w:szCs w:val="21"/>
              </w:rPr>
            </w:pPr>
          </w:p>
        </w:tc>
        <w:tc>
          <w:tcPr>
            <w:tcW w:w="2130" w:type="dxa"/>
            <w:tcBorders>
              <w:top w:val="single" w:sz="8" w:space="0" w:color="4F81BD"/>
              <w:left w:val="dotted" w:sz="8" w:space="0" w:color="auto"/>
              <w:bottom w:val="single" w:sz="8" w:space="0" w:color="4F81BD"/>
              <w:right w:val="dotted" w:sz="8" w:space="0" w:color="auto"/>
            </w:tcBorders>
            <w:shd w:val="clear" w:color="auto" w:fill="FFFFFF"/>
          </w:tcPr>
          <w:p w:rsidR="004165EC" w:rsidRDefault="00C97C8E">
            <w:pPr>
              <w:spacing w:line="360" w:lineRule="auto"/>
              <w:jc w:val="center"/>
              <w:rPr>
                <w:rFonts w:ascii="宋体" w:hAnsi="宋体" w:cs="宋体"/>
                <w:b/>
                <w:color w:val="000000"/>
                <w:szCs w:val="21"/>
              </w:rPr>
            </w:pPr>
            <w:r>
              <w:rPr>
                <w:rFonts w:ascii="宋体" w:hAnsi="宋体" w:cs="宋体" w:hint="eastAsia"/>
                <w:b/>
                <w:bCs/>
                <w:color w:val="000000"/>
                <w:szCs w:val="21"/>
              </w:rPr>
              <w:t>Std_PC1</w:t>
            </w:r>
          </w:p>
        </w:tc>
        <w:tc>
          <w:tcPr>
            <w:tcW w:w="2131" w:type="dxa"/>
            <w:tcBorders>
              <w:top w:val="single" w:sz="8" w:space="0" w:color="4F81BD"/>
              <w:left w:val="dotted" w:sz="8" w:space="0" w:color="auto"/>
              <w:bottom w:val="single" w:sz="8" w:space="0" w:color="4F81BD"/>
              <w:right w:val="dotted" w:sz="8" w:space="0" w:color="auto"/>
            </w:tcBorders>
            <w:shd w:val="clear" w:color="auto" w:fill="FFFFFF"/>
          </w:tcPr>
          <w:p w:rsidR="004165EC" w:rsidRDefault="00C97C8E">
            <w:pPr>
              <w:spacing w:line="360" w:lineRule="auto"/>
              <w:jc w:val="center"/>
              <w:rPr>
                <w:rFonts w:ascii="宋体" w:hAnsi="宋体" w:cs="宋体"/>
                <w:b/>
                <w:color w:val="000000"/>
                <w:szCs w:val="21"/>
              </w:rPr>
            </w:pPr>
            <w:r>
              <w:rPr>
                <w:rFonts w:ascii="宋体" w:hAnsi="宋体" w:cs="宋体" w:hint="eastAsia"/>
                <w:b/>
                <w:bCs/>
                <w:color w:val="000000"/>
                <w:szCs w:val="21"/>
              </w:rPr>
              <w:t>Std_PC2</w:t>
            </w:r>
          </w:p>
        </w:tc>
        <w:tc>
          <w:tcPr>
            <w:tcW w:w="2131" w:type="dxa"/>
            <w:tcBorders>
              <w:top w:val="single" w:sz="8" w:space="0" w:color="4F81BD"/>
              <w:left w:val="dotted" w:sz="8" w:space="0" w:color="auto"/>
              <w:bottom w:val="single" w:sz="8" w:space="0" w:color="4F81BD"/>
              <w:right w:val="dotted" w:sz="8" w:space="0" w:color="auto"/>
            </w:tcBorders>
            <w:shd w:val="clear" w:color="auto" w:fill="FFFFFF"/>
          </w:tcPr>
          <w:p w:rsidR="004165EC" w:rsidRDefault="00C97C8E">
            <w:pPr>
              <w:spacing w:line="360" w:lineRule="auto"/>
              <w:jc w:val="center"/>
              <w:rPr>
                <w:rFonts w:ascii="宋体" w:hAnsi="宋体" w:cs="宋体"/>
                <w:b/>
                <w:color w:val="000000"/>
                <w:szCs w:val="21"/>
              </w:rPr>
            </w:pPr>
            <w:r>
              <w:rPr>
                <w:rFonts w:ascii="宋体" w:hAnsi="宋体" w:cs="宋体" w:hint="eastAsia"/>
                <w:b/>
                <w:bCs/>
                <w:color w:val="000000"/>
                <w:szCs w:val="21"/>
              </w:rPr>
              <w:t>Std_PC3</w:t>
            </w:r>
          </w:p>
        </w:tc>
      </w:tr>
      <w:tr w:rsidR="004165EC">
        <w:trPr>
          <w:trHeight w:val="403"/>
        </w:trPr>
        <w:tc>
          <w:tcPr>
            <w:tcW w:w="2130" w:type="dxa"/>
            <w:tcBorders>
              <w:top w:val="single" w:sz="8" w:space="0" w:color="4F81BD"/>
              <w:left w:val="dotted" w:sz="8" w:space="0" w:color="auto"/>
              <w:bottom w:val="dotted" w:sz="8" w:space="0" w:color="auto"/>
              <w:right w:val="dotted" w:sz="8" w:space="0" w:color="auto"/>
            </w:tcBorders>
            <w:shd w:val="clear" w:color="auto" w:fill="DBE5F1"/>
          </w:tcPr>
          <w:p w:rsidR="004165EC" w:rsidRDefault="00C97C8E">
            <w:pPr>
              <w:spacing w:line="360" w:lineRule="auto"/>
              <w:jc w:val="center"/>
              <w:rPr>
                <w:rFonts w:ascii="宋体" w:hAnsi="宋体" w:cs="宋体"/>
                <w:color w:val="000000"/>
                <w:szCs w:val="21"/>
              </w:rPr>
            </w:pPr>
            <w:r>
              <w:rPr>
                <w:rFonts w:ascii="宋体" w:hAnsi="宋体" w:cs="宋体" w:hint="eastAsia"/>
                <w:color w:val="000000"/>
                <w:szCs w:val="21"/>
              </w:rPr>
              <w:t>铜</w:t>
            </w:r>
          </w:p>
        </w:tc>
        <w:tc>
          <w:tcPr>
            <w:tcW w:w="2130" w:type="dxa"/>
            <w:tcBorders>
              <w:top w:val="single" w:sz="8" w:space="0" w:color="4F81BD"/>
              <w:left w:val="dotted" w:sz="8" w:space="0" w:color="auto"/>
              <w:bottom w:val="dotted" w:sz="8" w:space="0" w:color="auto"/>
              <w:right w:val="dotted" w:sz="8" w:space="0" w:color="auto"/>
            </w:tcBorders>
            <w:shd w:val="clear" w:color="auto" w:fill="DBE5F1"/>
          </w:tcPr>
          <w:p w:rsidR="004165EC" w:rsidRDefault="00C97C8E">
            <w:pPr>
              <w:spacing w:line="360" w:lineRule="auto"/>
              <w:jc w:val="center"/>
              <w:rPr>
                <w:rFonts w:ascii="宋体" w:hAnsi="宋体" w:cs="宋体"/>
                <w:b/>
                <w:color w:val="000000"/>
                <w:szCs w:val="21"/>
              </w:rPr>
            </w:pPr>
            <w:r>
              <w:rPr>
                <w:rFonts w:ascii="宋体" w:hAnsi="宋体" w:cs="宋体" w:hint="eastAsia"/>
                <w:color w:val="000000"/>
                <w:szCs w:val="21"/>
              </w:rPr>
              <w:t>0.2513</w:t>
            </w:r>
          </w:p>
        </w:tc>
        <w:tc>
          <w:tcPr>
            <w:tcW w:w="2131" w:type="dxa"/>
            <w:tcBorders>
              <w:top w:val="single" w:sz="8" w:space="0" w:color="4F81BD"/>
              <w:left w:val="dotted" w:sz="8" w:space="0" w:color="auto"/>
              <w:bottom w:val="dotted" w:sz="8" w:space="0" w:color="auto"/>
              <w:right w:val="dotted" w:sz="8" w:space="0" w:color="auto"/>
            </w:tcBorders>
            <w:shd w:val="clear" w:color="auto" w:fill="DBE5F1"/>
          </w:tcPr>
          <w:p w:rsidR="004165EC" w:rsidRDefault="00C97C8E">
            <w:pPr>
              <w:spacing w:line="360" w:lineRule="auto"/>
              <w:jc w:val="center"/>
              <w:rPr>
                <w:rFonts w:ascii="宋体" w:hAnsi="宋体" w:cs="宋体"/>
                <w:b/>
                <w:color w:val="000000"/>
                <w:szCs w:val="21"/>
              </w:rPr>
            </w:pPr>
            <w:r>
              <w:rPr>
                <w:rFonts w:ascii="宋体" w:hAnsi="宋体" w:cs="宋体" w:hint="eastAsia"/>
                <w:color w:val="000000"/>
                <w:szCs w:val="21"/>
              </w:rPr>
              <w:t>0.109</w:t>
            </w:r>
          </w:p>
        </w:tc>
        <w:tc>
          <w:tcPr>
            <w:tcW w:w="2131" w:type="dxa"/>
            <w:tcBorders>
              <w:top w:val="single" w:sz="8" w:space="0" w:color="4F81BD"/>
              <w:left w:val="dotted" w:sz="8" w:space="0" w:color="auto"/>
              <w:bottom w:val="dotted" w:sz="8" w:space="0" w:color="auto"/>
              <w:right w:val="dotted" w:sz="8" w:space="0" w:color="auto"/>
            </w:tcBorders>
            <w:shd w:val="clear" w:color="auto" w:fill="DBE5F1"/>
          </w:tcPr>
          <w:p w:rsidR="004165EC" w:rsidRDefault="00C97C8E">
            <w:pPr>
              <w:spacing w:line="360" w:lineRule="auto"/>
              <w:jc w:val="center"/>
              <w:rPr>
                <w:rFonts w:ascii="宋体" w:hAnsi="宋体" w:cs="宋体"/>
                <w:b/>
                <w:color w:val="000000"/>
                <w:szCs w:val="21"/>
              </w:rPr>
            </w:pPr>
            <w:r>
              <w:rPr>
                <w:rFonts w:ascii="宋体" w:hAnsi="宋体" w:cs="宋体" w:hint="eastAsia"/>
                <w:color w:val="000000"/>
                <w:szCs w:val="21"/>
              </w:rPr>
              <w:t>0.0717</w:t>
            </w:r>
          </w:p>
        </w:tc>
      </w:tr>
      <w:tr w:rsidR="004165EC">
        <w:trPr>
          <w:trHeight w:val="407"/>
        </w:trPr>
        <w:tc>
          <w:tcPr>
            <w:tcW w:w="2130" w:type="dxa"/>
            <w:tcBorders>
              <w:top w:val="dotted" w:sz="8" w:space="0" w:color="auto"/>
              <w:left w:val="dotted" w:sz="8" w:space="0" w:color="auto"/>
              <w:bottom w:val="dotted" w:sz="8" w:space="0" w:color="auto"/>
              <w:right w:val="dotted" w:sz="8" w:space="0" w:color="auto"/>
            </w:tcBorders>
            <w:shd w:val="clear" w:color="auto" w:fill="FFFFFF"/>
          </w:tcPr>
          <w:p w:rsidR="004165EC" w:rsidRDefault="00C97C8E">
            <w:pPr>
              <w:spacing w:line="360" w:lineRule="auto"/>
              <w:jc w:val="center"/>
              <w:rPr>
                <w:rFonts w:ascii="宋体" w:hAnsi="宋体" w:cs="宋体"/>
                <w:color w:val="000000"/>
                <w:szCs w:val="21"/>
              </w:rPr>
            </w:pPr>
            <w:r>
              <w:rPr>
                <w:rFonts w:ascii="宋体" w:hAnsi="宋体" w:cs="宋体" w:hint="eastAsia"/>
                <w:color w:val="000000"/>
                <w:szCs w:val="21"/>
              </w:rPr>
              <w:t>豆</w:t>
            </w:r>
            <w:proofErr w:type="gramStart"/>
            <w:r>
              <w:rPr>
                <w:rFonts w:ascii="宋体" w:hAnsi="宋体" w:cs="宋体" w:hint="eastAsia"/>
                <w:color w:val="000000"/>
                <w:szCs w:val="21"/>
              </w:rPr>
              <w:t>粕</w:t>
            </w:r>
            <w:proofErr w:type="gramEnd"/>
          </w:p>
        </w:tc>
        <w:tc>
          <w:tcPr>
            <w:tcW w:w="2130" w:type="dxa"/>
            <w:tcBorders>
              <w:top w:val="dotted" w:sz="8" w:space="0" w:color="auto"/>
              <w:left w:val="dotted" w:sz="8" w:space="0" w:color="auto"/>
              <w:bottom w:val="dotted" w:sz="8" w:space="0" w:color="auto"/>
              <w:right w:val="dotted" w:sz="8" w:space="0" w:color="auto"/>
            </w:tcBorders>
            <w:shd w:val="clear" w:color="auto" w:fill="FFFFFF"/>
          </w:tcPr>
          <w:p w:rsidR="004165EC" w:rsidRDefault="00C97C8E">
            <w:pPr>
              <w:spacing w:line="360" w:lineRule="auto"/>
              <w:ind w:firstLine="420"/>
              <w:rPr>
                <w:rFonts w:ascii="宋体" w:hAnsi="宋体" w:cs="宋体"/>
                <w:b/>
                <w:color w:val="000000"/>
                <w:szCs w:val="21"/>
              </w:rPr>
            </w:pPr>
            <w:r>
              <w:rPr>
                <w:rFonts w:ascii="宋体" w:hAnsi="宋体" w:cs="宋体" w:hint="eastAsia"/>
                <w:color w:val="000000"/>
                <w:szCs w:val="21"/>
              </w:rPr>
              <w:t xml:space="preserve">  0.8494</w:t>
            </w:r>
          </w:p>
        </w:tc>
        <w:tc>
          <w:tcPr>
            <w:tcW w:w="2131" w:type="dxa"/>
            <w:tcBorders>
              <w:top w:val="dotted" w:sz="8" w:space="0" w:color="auto"/>
              <w:left w:val="dotted" w:sz="8" w:space="0" w:color="auto"/>
              <w:bottom w:val="dotted" w:sz="8" w:space="0" w:color="auto"/>
              <w:right w:val="dotted" w:sz="8" w:space="0" w:color="auto"/>
            </w:tcBorders>
            <w:shd w:val="clear" w:color="auto" w:fill="FFFFFF"/>
          </w:tcPr>
          <w:p w:rsidR="004165EC" w:rsidRDefault="00C97C8E">
            <w:pPr>
              <w:spacing w:line="360" w:lineRule="auto"/>
              <w:ind w:firstLine="420"/>
              <w:rPr>
                <w:rFonts w:ascii="宋体" w:hAnsi="宋体" w:cs="宋体"/>
                <w:b/>
                <w:color w:val="000000"/>
                <w:szCs w:val="21"/>
              </w:rPr>
            </w:pPr>
            <w:r>
              <w:rPr>
                <w:rFonts w:ascii="宋体" w:hAnsi="宋体" w:cs="宋体" w:hint="eastAsia"/>
                <w:color w:val="000000"/>
                <w:szCs w:val="21"/>
              </w:rPr>
              <w:t xml:space="preserve">   0.2698</w:t>
            </w:r>
          </w:p>
        </w:tc>
        <w:tc>
          <w:tcPr>
            <w:tcW w:w="2131" w:type="dxa"/>
            <w:tcBorders>
              <w:top w:val="dotted" w:sz="8" w:space="0" w:color="auto"/>
              <w:left w:val="dotted" w:sz="8" w:space="0" w:color="auto"/>
              <w:bottom w:val="dotted" w:sz="8" w:space="0" w:color="auto"/>
              <w:right w:val="dotted" w:sz="8" w:space="0" w:color="auto"/>
            </w:tcBorders>
            <w:shd w:val="clear" w:color="auto" w:fill="FFFFFF"/>
          </w:tcPr>
          <w:p w:rsidR="004165EC" w:rsidRDefault="00C97C8E">
            <w:pPr>
              <w:spacing w:line="360" w:lineRule="auto"/>
              <w:ind w:firstLine="420"/>
              <w:rPr>
                <w:rFonts w:ascii="宋体" w:hAnsi="宋体" w:cs="宋体"/>
                <w:b/>
                <w:color w:val="000000"/>
                <w:szCs w:val="21"/>
              </w:rPr>
            </w:pPr>
            <w:r>
              <w:rPr>
                <w:rFonts w:ascii="宋体" w:hAnsi="宋体" w:cs="宋体" w:hint="eastAsia"/>
                <w:color w:val="000000"/>
                <w:szCs w:val="21"/>
              </w:rPr>
              <w:t xml:space="preserve">  0.3275</w:t>
            </w:r>
          </w:p>
        </w:tc>
      </w:tr>
      <w:tr w:rsidR="004165EC">
        <w:trPr>
          <w:trHeight w:val="417"/>
        </w:trPr>
        <w:tc>
          <w:tcPr>
            <w:tcW w:w="2130" w:type="dxa"/>
            <w:tcBorders>
              <w:top w:val="dotted" w:sz="8" w:space="0" w:color="auto"/>
              <w:left w:val="dotted" w:sz="8" w:space="0" w:color="auto"/>
              <w:bottom w:val="dotted" w:sz="8" w:space="0" w:color="auto"/>
              <w:right w:val="dotted" w:sz="8" w:space="0" w:color="auto"/>
            </w:tcBorders>
            <w:shd w:val="clear" w:color="auto" w:fill="DBE5F1"/>
          </w:tcPr>
          <w:p w:rsidR="004165EC" w:rsidRDefault="00C97C8E">
            <w:pPr>
              <w:spacing w:line="360" w:lineRule="auto"/>
              <w:jc w:val="center"/>
              <w:rPr>
                <w:rFonts w:ascii="宋体" w:hAnsi="宋体" w:cs="宋体"/>
                <w:color w:val="000000"/>
                <w:szCs w:val="21"/>
              </w:rPr>
            </w:pPr>
            <w:r>
              <w:rPr>
                <w:rFonts w:ascii="宋体" w:hAnsi="宋体" w:cs="宋体" w:hint="eastAsia"/>
                <w:color w:val="000000"/>
                <w:szCs w:val="21"/>
              </w:rPr>
              <w:t>天然橡胶</w:t>
            </w:r>
          </w:p>
        </w:tc>
        <w:tc>
          <w:tcPr>
            <w:tcW w:w="2130" w:type="dxa"/>
            <w:tcBorders>
              <w:top w:val="dotted" w:sz="8" w:space="0" w:color="auto"/>
              <w:left w:val="dotted" w:sz="8" w:space="0" w:color="auto"/>
              <w:bottom w:val="dotted" w:sz="8" w:space="0" w:color="auto"/>
              <w:right w:val="dotted" w:sz="8" w:space="0" w:color="auto"/>
            </w:tcBorders>
            <w:shd w:val="clear" w:color="auto" w:fill="DBE5F1"/>
          </w:tcPr>
          <w:p w:rsidR="004165EC" w:rsidRDefault="00C97C8E">
            <w:pPr>
              <w:spacing w:line="360" w:lineRule="auto"/>
              <w:ind w:firstLine="420"/>
              <w:rPr>
                <w:rFonts w:ascii="宋体" w:hAnsi="宋体" w:cs="宋体"/>
                <w:b/>
                <w:color w:val="000000"/>
                <w:szCs w:val="21"/>
              </w:rPr>
            </w:pPr>
            <w:r>
              <w:rPr>
                <w:rFonts w:ascii="宋体" w:hAnsi="宋体" w:cs="宋体" w:hint="eastAsia"/>
                <w:color w:val="000000"/>
                <w:szCs w:val="21"/>
              </w:rPr>
              <w:t xml:space="preserve">  0.390805</w:t>
            </w:r>
          </w:p>
        </w:tc>
        <w:tc>
          <w:tcPr>
            <w:tcW w:w="2131" w:type="dxa"/>
            <w:tcBorders>
              <w:top w:val="dotted" w:sz="8" w:space="0" w:color="auto"/>
              <w:left w:val="dotted" w:sz="8" w:space="0" w:color="auto"/>
              <w:bottom w:val="dotted" w:sz="8" w:space="0" w:color="auto"/>
              <w:right w:val="dotted" w:sz="8" w:space="0" w:color="auto"/>
            </w:tcBorders>
            <w:shd w:val="clear" w:color="auto" w:fill="DBE5F1"/>
          </w:tcPr>
          <w:p w:rsidR="004165EC" w:rsidRDefault="00C97C8E">
            <w:pPr>
              <w:spacing w:line="360" w:lineRule="auto"/>
              <w:ind w:firstLine="420"/>
              <w:jc w:val="center"/>
              <w:rPr>
                <w:rFonts w:ascii="宋体" w:hAnsi="宋体" w:cs="宋体"/>
                <w:b/>
                <w:color w:val="000000"/>
                <w:szCs w:val="21"/>
              </w:rPr>
            </w:pPr>
            <w:r>
              <w:rPr>
                <w:rFonts w:ascii="宋体" w:hAnsi="宋体" w:cs="宋体" w:hint="eastAsia"/>
                <w:color w:val="000000"/>
                <w:szCs w:val="21"/>
              </w:rPr>
              <w:t>0.232773</w:t>
            </w:r>
          </w:p>
        </w:tc>
        <w:tc>
          <w:tcPr>
            <w:tcW w:w="2131" w:type="dxa"/>
            <w:tcBorders>
              <w:top w:val="dotted" w:sz="8" w:space="0" w:color="auto"/>
              <w:left w:val="dotted" w:sz="8" w:space="0" w:color="auto"/>
              <w:bottom w:val="dotted" w:sz="8" w:space="0" w:color="auto"/>
              <w:right w:val="dotted" w:sz="8" w:space="0" w:color="auto"/>
            </w:tcBorders>
            <w:shd w:val="clear" w:color="auto" w:fill="DBE5F1"/>
          </w:tcPr>
          <w:p w:rsidR="004165EC" w:rsidRDefault="00C97C8E">
            <w:pPr>
              <w:spacing w:line="360" w:lineRule="auto"/>
              <w:ind w:firstLine="420"/>
              <w:rPr>
                <w:rFonts w:ascii="宋体" w:hAnsi="宋体" w:cs="宋体"/>
                <w:b/>
                <w:color w:val="000000"/>
                <w:szCs w:val="21"/>
              </w:rPr>
            </w:pPr>
            <w:r>
              <w:rPr>
                <w:rFonts w:ascii="宋体" w:hAnsi="宋体" w:cs="宋体" w:hint="eastAsia"/>
                <w:color w:val="000000"/>
                <w:szCs w:val="21"/>
              </w:rPr>
              <w:t xml:space="preserve">  0.183812</w:t>
            </w:r>
          </w:p>
        </w:tc>
      </w:tr>
      <w:tr w:rsidR="004165EC">
        <w:trPr>
          <w:trHeight w:val="417"/>
        </w:trPr>
        <w:tc>
          <w:tcPr>
            <w:tcW w:w="8522" w:type="dxa"/>
            <w:gridSpan w:val="4"/>
            <w:tcBorders>
              <w:top w:val="dotted" w:sz="8" w:space="0" w:color="auto"/>
              <w:left w:val="dotted" w:sz="8" w:space="0" w:color="auto"/>
              <w:bottom w:val="single" w:sz="8" w:space="0" w:color="4F81BD"/>
              <w:right w:val="dotted" w:sz="8" w:space="0" w:color="auto"/>
            </w:tcBorders>
            <w:shd w:val="clear" w:color="auto" w:fill="DBE5F1"/>
          </w:tcPr>
          <w:p w:rsidR="004165EC" w:rsidRDefault="00C97C8E">
            <w:pPr>
              <w:spacing w:line="360" w:lineRule="auto"/>
              <w:rPr>
                <w:rFonts w:ascii="宋体" w:hAnsi="宋体" w:cs="宋体"/>
                <w:color w:val="000000"/>
                <w:szCs w:val="21"/>
              </w:rPr>
            </w:pPr>
            <w:r>
              <w:rPr>
                <w:rFonts w:ascii="宋体" w:hAnsi="宋体" w:cs="宋体" w:hint="eastAsia"/>
                <w:color w:val="000000"/>
                <w:szCs w:val="21"/>
              </w:rPr>
              <w:t>S_PCA为主</w:t>
            </w:r>
            <w:proofErr w:type="gramStart"/>
            <w:r>
              <w:rPr>
                <w:rFonts w:ascii="宋体" w:hAnsi="宋体" w:cs="宋体" w:hint="eastAsia"/>
                <w:color w:val="000000"/>
                <w:szCs w:val="21"/>
              </w:rPr>
              <w:t>成分成分</w:t>
            </w:r>
            <w:proofErr w:type="gramEnd"/>
            <w:r>
              <w:rPr>
                <w:rFonts w:ascii="宋体" w:hAnsi="宋体" w:cs="宋体" w:hint="eastAsia"/>
                <w:color w:val="000000"/>
                <w:szCs w:val="21"/>
              </w:rPr>
              <w:t>的标准差</w:t>
            </w:r>
          </w:p>
        </w:tc>
      </w:tr>
    </w:tbl>
    <w:p w:rsidR="004165EC" w:rsidRDefault="00C97C8E">
      <w:pPr>
        <w:spacing w:line="360" w:lineRule="auto"/>
        <w:ind w:firstLineChars="200" w:firstLine="422"/>
        <w:rPr>
          <w:rFonts w:ascii="宋体" w:hAnsi="宋体"/>
          <w:b/>
        </w:rPr>
      </w:pPr>
      <w:r>
        <w:rPr>
          <w:rFonts w:ascii="宋体" w:hAnsi="宋体" w:hint="eastAsia"/>
          <w:b/>
        </w:rPr>
        <w:t>结果分析：</w:t>
      </w:r>
    </w:p>
    <w:p w:rsidR="004165EC" w:rsidRDefault="00C97C8E">
      <w:pPr>
        <w:spacing w:line="360" w:lineRule="auto"/>
        <w:ind w:firstLineChars="200" w:firstLine="420"/>
        <w:rPr>
          <w:rFonts w:ascii="宋体" w:hAnsi="宋体"/>
        </w:rPr>
      </w:pPr>
      <w:r>
        <w:rPr>
          <w:rFonts w:ascii="宋体" w:hAnsi="宋体" w:hint="eastAsia"/>
        </w:rPr>
        <w:t>各主成分的标准差都在1%以下，解释力较稳定。第二主成分的解释能力则与第一主成分有很大关系，即高的第一主成分解释能力的标准差则伴随着高的第二主成份解释能力的标准差。第三主成分的解释能力较小，其标准差的参考意义相对较小。因此，我们可以断定，提取的前三个主成分不仅能够反映期限结构的动态变动，而且其解释力在样本期内具有较好的稳定性。</w:t>
      </w:r>
    </w:p>
    <w:p w:rsidR="004165EC" w:rsidRDefault="00C97C8E">
      <w:pPr>
        <w:spacing w:line="360" w:lineRule="auto"/>
        <w:ind w:firstLineChars="200" w:firstLine="420"/>
        <w:rPr>
          <w:rFonts w:ascii="宋体" w:hAnsi="宋体"/>
        </w:rPr>
      </w:pPr>
      <w:r>
        <w:rPr>
          <w:rFonts w:ascii="宋体" w:hAnsi="宋体" w:hint="eastAsia"/>
        </w:rPr>
        <w:t>在滚动主成分分析的过程中，我们对期限结构的变动与各主成分间的关系有了更深入的了解：在不同期限合约价格变动较大从而使期限结构平行移动的时期或期限结构斜率和曲率变化较小的时期，第一主成分表现了较高的解释能力；在期限结构的斜率和曲率变化较大的时期，第一主成分的解释能力降低，第二和第三主成分的解释能力增加。这些发现支持了我们把前三个主成分理解为水平因素、斜率因素和曲率因素的观点。更为重要的是，通过滚动主成分分析，各品种前三个主成分的解释力在样本期内具有较好的稳定性。</w:t>
      </w:r>
    </w:p>
    <w:p w:rsidR="004165EC" w:rsidRDefault="00C97C8E">
      <w:pPr>
        <w:spacing w:line="360" w:lineRule="auto"/>
        <w:ind w:firstLineChars="200" w:firstLine="420"/>
        <w:rPr>
          <w:rFonts w:ascii="宋体" w:hAnsi="宋体"/>
        </w:rPr>
      </w:pPr>
      <w:r>
        <w:rPr>
          <w:rFonts w:ascii="宋体" w:hAnsi="宋体" w:hint="eastAsia"/>
        </w:rPr>
        <w:t>下面附上铜、豆</w:t>
      </w:r>
      <w:proofErr w:type="gramStart"/>
      <w:r>
        <w:rPr>
          <w:rFonts w:ascii="宋体" w:hAnsi="宋体" w:hint="eastAsia"/>
        </w:rPr>
        <w:t>粕</w:t>
      </w:r>
      <w:proofErr w:type="gramEnd"/>
      <w:r>
        <w:rPr>
          <w:rFonts w:ascii="宋体" w:hAnsi="宋体" w:hint="eastAsia"/>
        </w:rPr>
        <w:t>和天然橡胶的所有数据前五周、中间五周以及后五周价格期限结构图</w:t>
      </w:r>
    </w:p>
    <w:p w:rsidR="004165EC" w:rsidRDefault="00C97C8E">
      <w:pPr>
        <w:numPr>
          <w:ilvl w:val="0"/>
          <w:numId w:val="6"/>
        </w:numPr>
        <w:spacing w:line="360" w:lineRule="auto"/>
        <w:ind w:firstLineChars="200" w:firstLine="422"/>
        <w:rPr>
          <w:rFonts w:ascii="宋体" w:hAnsi="宋体"/>
          <w:b/>
          <w:bCs/>
        </w:rPr>
      </w:pPr>
      <w:r>
        <w:rPr>
          <w:rFonts w:ascii="宋体" w:hAnsi="宋体" w:hint="eastAsia"/>
          <w:b/>
          <w:bCs/>
        </w:rPr>
        <w:t>铜的价格期限结构</w:t>
      </w:r>
    </w:p>
    <w:p w:rsidR="004165EC" w:rsidRDefault="00C97C8E">
      <w:pPr>
        <w:spacing w:line="360" w:lineRule="auto"/>
        <w:rPr>
          <w:rFonts w:ascii="宋体" w:hAnsi="宋体"/>
        </w:rPr>
      </w:pPr>
      <w:r>
        <w:pict>
          <v:shape id="图表 9" o:spid="_x0000_s1092" type="#_x0000_t75" style="position:absolute;left:0;text-align:left;margin-left:205.5pt;margin-top:1.8pt;width:198pt;height:119.25pt;z-index:8">
            <v:imagedata r:id="rId99" o:title=""/>
          </v:shape>
        </w:pict>
      </w:r>
      <w:r>
        <w:pict>
          <v:shape id="图表 10" o:spid="_x0000_s1093" type="#_x0000_t75" style="position:absolute;left:0;text-align:left;margin-left:6.3pt;margin-top:1.05pt;width:198.45pt;height:119.25pt;z-index:7">
            <v:imagedata r:id="rId100" o:title=""/>
          </v:shape>
        </w:pict>
      </w:r>
      <w:r>
        <w:rPr>
          <w:rFonts w:ascii="宋体" w:hAnsi="宋体" w:hint="eastAsia"/>
        </w:rPr>
        <w:t xml:space="preserve">   </w:t>
      </w:r>
    </w:p>
    <w:p w:rsidR="004165EC" w:rsidRDefault="00C97C8E">
      <w:pPr>
        <w:spacing w:line="360" w:lineRule="auto"/>
        <w:ind w:firstLineChars="200" w:firstLine="420"/>
        <w:rPr>
          <w:rFonts w:ascii="宋体" w:hAnsi="宋体"/>
        </w:rPr>
      </w:pPr>
      <w:r>
        <w:rPr>
          <w:rFonts w:ascii="宋体" w:hAnsi="宋体" w:hint="eastAsia"/>
        </w:rPr>
        <w:t>。</w:t>
      </w:r>
    </w:p>
    <w:p w:rsidR="004165EC" w:rsidRDefault="00C97C8E">
      <w:pPr>
        <w:spacing w:line="360" w:lineRule="auto"/>
        <w:ind w:firstLineChars="200" w:firstLine="420"/>
        <w:rPr>
          <w:rFonts w:ascii="宋体" w:hAnsi="宋体"/>
        </w:rPr>
      </w:pPr>
      <w:r>
        <w:rPr>
          <w:rFonts w:ascii="宋体" w:hAnsi="宋体" w:hint="eastAsia"/>
        </w:rPr>
        <w:t>（2）中间五周的</w:t>
      </w:r>
      <w:proofErr w:type="gramStart"/>
      <w:r>
        <w:rPr>
          <w:rFonts w:ascii="宋体" w:hAnsi="宋体" w:hint="eastAsia"/>
        </w:rPr>
        <w:t>铜价格</w:t>
      </w:r>
      <w:proofErr w:type="gramEnd"/>
      <w:r>
        <w:rPr>
          <w:rFonts w:ascii="宋体" w:hAnsi="宋体" w:hint="eastAsia"/>
        </w:rPr>
        <w:t>期限结构</w:t>
      </w:r>
    </w:p>
    <w:p w:rsidR="004165EC" w:rsidRDefault="004165EC">
      <w:pPr>
        <w:spacing w:line="360" w:lineRule="auto"/>
        <w:rPr>
          <w:rFonts w:ascii="宋体" w:hAnsi="宋体"/>
        </w:rPr>
      </w:pPr>
    </w:p>
    <w:p w:rsidR="004165EC" w:rsidRDefault="00C97C8E">
      <w:pPr>
        <w:spacing w:line="360" w:lineRule="auto"/>
        <w:ind w:firstLineChars="200" w:firstLine="420"/>
        <w:rPr>
          <w:rFonts w:ascii="宋体" w:hAnsi="宋体"/>
        </w:rPr>
      </w:pPr>
      <w:r>
        <w:rPr>
          <w:rFonts w:ascii="宋体" w:hAnsi="宋体" w:hint="eastAsia"/>
        </w:rPr>
        <w:t>（3）后五周的</w:t>
      </w:r>
      <w:proofErr w:type="gramStart"/>
      <w:r>
        <w:rPr>
          <w:rFonts w:ascii="宋体" w:hAnsi="宋体" w:hint="eastAsia"/>
        </w:rPr>
        <w:t>铜价格</w:t>
      </w:r>
      <w:proofErr w:type="gramEnd"/>
      <w:r>
        <w:rPr>
          <w:rFonts w:ascii="宋体" w:hAnsi="宋体" w:hint="eastAsia"/>
        </w:rPr>
        <w:t>期限结构</w:t>
      </w:r>
    </w:p>
    <w:p w:rsidR="004165EC" w:rsidRDefault="00C97C8E">
      <w:pPr>
        <w:spacing w:line="360" w:lineRule="auto"/>
        <w:rPr>
          <w:rFonts w:ascii="宋体" w:hAnsi="宋体"/>
        </w:rPr>
      </w:pPr>
      <w:r>
        <w:pict>
          <v:shape id="图表 8" o:spid="_x0000_s1094" type="#_x0000_t75" style="position:absolute;left:0;text-align:left;margin-left:8.55pt;margin-top:1.8pt;width:198pt;height:119.25pt;z-index:9">
            <v:imagedata r:id="rId101" o:title=""/>
          </v:shape>
        </w:pict>
      </w: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C97C8E" w:rsidP="00C97C8E">
      <w:pPr>
        <w:spacing w:line="360" w:lineRule="auto"/>
        <w:ind w:firstLineChars="100" w:firstLine="210"/>
        <w:rPr>
          <w:rFonts w:ascii="宋体" w:hAnsi="宋体"/>
          <w:b/>
          <w:bCs/>
        </w:rPr>
      </w:pPr>
      <w:r>
        <w:lastRenderedPageBreak/>
        <w:pict>
          <v:shape id="图表 2" o:spid="_x0000_s1095" type="#_x0000_t75" style="position:absolute;left:0;text-align:left;margin-left:213.75pt;margin-top:21.15pt;width:198pt;height:119.25pt;z-index:11">
            <v:imagedata r:id="rId102" o:title=""/>
          </v:shape>
        </w:pict>
      </w:r>
      <w:r>
        <w:rPr>
          <w:b/>
        </w:rPr>
        <w:pict>
          <v:shape id="图表 1" o:spid="_x0000_s1096" type="#_x0000_t75" style="position:absolute;left:0;text-align:left;margin-left:13.8pt;margin-top:22.1pt;width:198.45pt;height:119.05pt;z-index:10">
            <v:imagedata r:id="rId103" o:title=""/>
          </v:shape>
        </w:pict>
      </w:r>
      <w:r>
        <w:rPr>
          <w:rFonts w:ascii="宋体" w:hAnsi="宋体" w:hint="eastAsia"/>
          <w:b/>
        </w:rPr>
        <w:t>（2）</w:t>
      </w:r>
      <w:r>
        <w:rPr>
          <w:rFonts w:ascii="宋体" w:hAnsi="宋体" w:hint="eastAsia"/>
          <w:b/>
          <w:bCs/>
        </w:rPr>
        <w:t>豆</w:t>
      </w:r>
      <w:proofErr w:type="gramStart"/>
      <w:r>
        <w:rPr>
          <w:rFonts w:ascii="宋体" w:hAnsi="宋体" w:hint="eastAsia"/>
          <w:b/>
          <w:bCs/>
        </w:rPr>
        <w:t>粕</w:t>
      </w:r>
      <w:proofErr w:type="gramEnd"/>
      <w:r>
        <w:rPr>
          <w:rFonts w:ascii="宋体" w:hAnsi="宋体" w:hint="eastAsia"/>
          <w:b/>
          <w:bCs/>
        </w:rPr>
        <w:t>的价格期限结构</w:t>
      </w:r>
    </w:p>
    <w:p w:rsidR="004165EC" w:rsidRDefault="004165EC">
      <w:pPr>
        <w:spacing w:line="360" w:lineRule="auto"/>
        <w:rPr>
          <w:rFonts w:ascii="宋体" w:hAnsi="宋体"/>
          <w:b/>
          <w:bCs/>
        </w:rPr>
      </w:pPr>
    </w:p>
    <w:p w:rsidR="004165EC" w:rsidRDefault="004165EC">
      <w:pPr>
        <w:spacing w:line="360" w:lineRule="auto"/>
        <w:rPr>
          <w:rFonts w:ascii="宋体" w:hAnsi="宋体"/>
          <w:b/>
          <w:bCs/>
        </w:rPr>
      </w:pPr>
    </w:p>
    <w:p w:rsidR="004165EC" w:rsidRDefault="004165EC">
      <w:pPr>
        <w:spacing w:line="360" w:lineRule="auto"/>
        <w:rPr>
          <w:rFonts w:ascii="宋体" w:hAnsi="宋体"/>
          <w:b/>
          <w:bCs/>
        </w:rPr>
      </w:pPr>
    </w:p>
    <w:p w:rsidR="004165EC" w:rsidRDefault="004165EC">
      <w:pPr>
        <w:spacing w:line="360" w:lineRule="auto"/>
        <w:rPr>
          <w:rFonts w:ascii="宋体" w:hAnsi="宋体"/>
          <w:b/>
          <w:bCs/>
        </w:rPr>
      </w:pPr>
    </w:p>
    <w:p w:rsidR="004165EC" w:rsidRDefault="004165EC">
      <w:pPr>
        <w:spacing w:line="360" w:lineRule="auto"/>
        <w:rPr>
          <w:rFonts w:ascii="宋体" w:hAnsi="宋体"/>
          <w:b/>
          <w:bCs/>
        </w:rPr>
      </w:pPr>
    </w:p>
    <w:p w:rsidR="004165EC" w:rsidRDefault="00C97C8E">
      <w:pPr>
        <w:spacing w:line="360" w:lineRule="auto"/>
        <w:rPr>
          <w:rFonts w:ascii="宋体" w:hAnsi="宋体"/>
        </w:rPr>
      </w:pPr>
      <w:r>
        <w:pict>
          <v:shape id="图表 3" o:spid="_x0000_s1097" type="#_x0000_t75" style="position:absolute;left:0;text-align:left;margin-left:15.3pt;margin-top:3pt;width:198pt;height:119.25pt;z-index:12">
            <v:imagedata r:id="rId104" o:title=""/>
          </v:shape>
        </w:pict>
      </w:r>
    </w:p>
    <w:p w:rsidR="004165EC" w:rsidRDefault="004165EC">
      <w:pPr>
        <w:spacing w:line="360" w:lineRule="auto"/>
        <w:rPr>
          <w:rFonts w:ascii="宋体" w:hAnsi="宋体"/>
        </w:rPr>
      </w:pPr>
    </w:p>
    <w:p w:rsidR="004165EC" w:rsidRDefault="004165EC">
      <w:pPr>
        <w:spacing w:line="360" w:lineRule="auto"/>
        <w:rPr>
          <w:rFonts w:ascii="宋体" w:hAnsi="宋体"/>
          <w:b/>
          <w:bCs/>
        </w:rPr>
      </w:pPr>
    </w:p>
    <w:p w:rsidR="004165EC" w:rsidRDefault="004165EC">
      <w:pPr>
        <w:spacing w:line="360" w:lineRule="auto"/>
        <w:rPr>
          <w:rFonts w:ascii="宋体" w:hAnsi="宋体"/>
          <w:b/>
          <w:bCs/>
        </w:rPr>
      </w:pPr>
    </w:p>
    <w:p w:rsidR="004165EC" w:rsidRDefault="004165EC">
      <w:pPr>
        <w:spacing w:line="360" w:lineRule="auto"/>
        <w:rPr>
          <w:rFonts w:ascii="宋体" w:hAnsi="宋体"/>
          <w:b/>
          <w:bCs/>
        </w:rPr>
      </w:pPr>
    </w:p>
    <w:p w:rsidR="004165EC" w:rsidRDefault="004165EC">
      <w:pPr>
        <w:spacing w:line="360" w:lineRule="auto"/>
        <w:rPr>
          <w:rFonts w:ascii="宋体" w:hAnsi="宋体"/>
          <w:b/>
          <w:bCs/>
        </w:rPr>
      </w:pPr>
    </w:p>
    <w:p w:rsidR="004165EC" w:rsidRDefault="00C97C8E">
      <w:pPr>
        <w:spacing w:line="360" w:lineRule="auto"/>
        <w:rPr>
          <w:rFonts w:ascii="宋体" w:hAnsi="宋体"/>
          <w:b/>
        </w:rPr>
      </w:pPr>
      <w:r>
        <w:rPr>
          <w:rFonts w:ascii="宋体" w:hAnsi="宋体" w:hint="eastAsia"/>
          <w:b/>
        </w:rPr>
        <w:t xml:space="preserve">  （3）</w:t>
      </w:r>
      <w:r>
        <w:rPr>
          <w:rFonts w:ascii="宋体" w:hAnsi="宋体" w:hint="eastAsia"/>
          <w:b/>
          <w:bCs/>
        </w:rPr>
        <w:t>天然橡胶的价格期限结构</w:t>
      </w:r>
      <w:r>
        <w:rPr>
          <w:rFonts w:ascii="宋体" w:hAnsi="宋体" w:hint="eastAsia"/>
          <w:b/>
        </w:rPr>
        <w:t xml:space="preserve">  </w:t>
      </w:r>
    </w:p>
    <w:p w:rsidR="004165EC" w:rsidRDefault="00C97C8E">
      <w:pPr>
        <w:spacing w:line="360" w:lineRule="auto"/>
        <w:rPr>
          <w:rFonts w:ascii="宋体" w:hAnsi="宋体"/>
        </w:rPr>
      </w:pPr>
      <w:r>
        <w:pict>
          <v:shape id="Picture 271" o:spid="_x0000_s1438" type="#_x0000_t75" style="position:absolute;left:0;text-align:left;margin-left:225.75pt;margin-top:2.2pt;width:192pt;height:119.4pt;z-index:14">
            <v:imagedata r:id="rId105" o:title=""/>
            <o:lock v:ext="edit" aspectratio="f"/>
          </v:shape>
          <o:OLEObject Type="Embed" ProgID="Excel.Sheet.8" ShapeID="Picture 271" DrawAspect="Content" ObjectID="_1480851545" r:id="rId106"/>
        </w:pict>
      </w:r>
      <w:r>
        <w:pict>
          <v:shape id="Picture 272" o:spid="_x0000_s1437" type="#_x0000_t75" style="position:absolute;left:0;text-align:left;margin-left:24.75pt;margin-top:1.15pt;width:201.75pt;height:122.9pt;z-index:15">
            <v:imagedata r:id="rId107" o:title=""/>
            <o:lock v:ext="edit" aspectratio="f"/>
          </v:shape>
          <o:OLEObject Type="Embed" ProgID="Excel.Sheet.8" ShapeID="Picture 272" DrawAspect="Content" ObjectID="_1480851546" r:id="rId108"/>
        </w:pict>
      </w:r>
      <w:r>
        <w:rPr>
          <w:rFonts w:hint="eastAsia"/>
        </w:rPr>
        <w:t xml:space="preserve">   </w:t>
      </w: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C97C8E">
      <w:pPr>
        <w:spacing w:line="360" w:lineRule="auto"/>
        <w:rPr>
          <w:rFonts w:ascii="宋体" w:hAnsi="宋体"/>
        </w:rPr>
      </w:pPr>
      <w:r>
        <w:pict>
          <v:shape id="Picture 269" o:spid="_x0000_s1100" type="#_x0000_t75" style="position:absolute;left:0;text-align:left;margin-left:25.5pt;margin-top:6.4pt;width:198pt;height:119.25pt;z-index:13">
            <v:imagedata r:id="rId109" o:title=""/>
          </v:shape>
        </w:pict>
      </w: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C97C8E">
      <w:pPr>
        <w:spacing w:line="360" w:lineRule="auto"/>
        <w:rPr>
          <w:rFonts w:ascii="宋体" w:hAnsi="宋体"/>
        </w:rPr>
      </w:pPr>
      <w:r>
        <w:rPr>
          <w:rFonts w:ascii="宋体" w:hAnsi="宋体" w:hint="eastAsia"/>
          <w:b/>
          <w:bCs/>
        </w:rPr>
        <w:t>（4）期货价格期限结构分析和解释</w:t>
      </w:r>
    </w:p>
    <w:p w:rsidR="004165EC" w:rsidRDefault="00C97C8E">
      <w:pPr>
        <w:spacing w:line="360" w:lineRule="auto"/>
        <w:ind w:firstLineChars="200" w:firstLine="420"/>
        <w:rPr>
          <w:rFonts w:ascii="宋体" w:hAnsi="宋体"/>
        </w:rPr>
      </w:pPr>
      <w:r>
        <w:rPr>
          <w:rFonts w:ascii="宋体" w:hAnsi="宋体" w:hint="eastAsia"/>
        </w:rPr>
        <w:t>反向市场表示近期期货价格或现货价格高于远期价格，相反的情况则表示正向市场。</w:t>
      </w:r>
    </w:p>
    <w:p w:rsidR="004165EC" w:rsidRDefault="00C97C8E">
      <w:pPr>
        <w:spacing w:line="360" w:lineRule="auto"/>
        <w:ind w:firstLineChars="200" w:firstLine="420"/>
        <w:rPr>
          <w:rFonts w:ascii="宋体" w:hAnsi="宋体"/>
        </w:rPr>
      </w:pPr>
      <w:r>
        <w:rPr>
          <w:rFonts w:ascii="宋体" w:hAnsi="宋体" w:hint="eastAsia"/>
        </w:rPr>
        <w:t>反向市场状态的出现一般有两个原因</w:t>
      </w:r>
      <w:r>
        <w:rPr>
          <w:rFonts w:ascii="宋体" w:hAnsi="宋体"/>
        </w:rPr>
        <w:t>:</w:t>
      </w:r>
      <w:r>
        <w:rPr>
          <w:rFonts w:ascii="宋体" w:hAnsi="宋体" w:hint="eastAsia"/>
        </w:rPr>
        <w:t>一是近期对某种商品的需求非常迫切，远大于近期产量和库存量，使得现货价格大幅提高，高于期货价格；二是预计</w:t>
      </w:r>
      <w:proofErr w:type="gramStart"/>
      <w:r>
        <w:rPr>
          <w:rFonts w:ascii="宋体" w:hAnsi="宋体" w:hint="eastAsia"/>
        </w:rPr>
        <w:t>将来该</w:t>
      </w:r>
      <w:proofErr w:type="gramEnd"/>
      <w:r>
        <w:rPr>
          <w:rFonts w:ascii="宋体" w:hAnsi="宋体" w:hint="eastAsia"/>
        </w:rPr>
        <w:t>商品的供给会大幅提高，导致期货价格大幅下降，低于现货价格。</w:t>
      </w:r>
    </w:p>
    <w:p w:rsidR="004165EC" w:rsidRDefault="00C97C8E">
      <w:pPr>
        <w:spacing w:line="360" w:lineRule="auto"/>
        <w:ind w:firstLineChars="200" w:firstLine="420"/>
        <w:rPr>
          <w:rFonts w:ascii="宋体" w:hAnsi="宋体"/>
        </w:rPr>
      </w:pPr>
      <w:r>
        <w:rPr>
          <w:rFonts w:ascii="宋体" w:hAnsi="宋体" w:hint="eastAsia"/>
        </w:rPr>
        <w:t>总之，由于人们对现货的需求很迫切，价格再高也愿意承担，造成现货价格大幅提高，</w:t>
      </w:r>
      <w:r>
        <w:rPr>
          <w:rFonts w:ascii="宋体" w:hAnsi="宋体" w:hint="eastAsia"/>
        </w:rPr>
        <w:lastRenderedPageBreak/>
        <w:t>近期合约价格也随之上升，并高出远期月份合约的价格，</w:t>
      </w:r>
      <w:proofErr w:type="gramStart"/>
      <w:r>
        <w:rPr>
          <w:rFonts w:ascii="宋体" w:hAnsi="宋体" w:hint="eastAsia"/>
        </w:rPr>
        <w:t>导致基差为</w:t>
      </w:r>
      <w:proofErr w:type="gramEnd"/>
      <w:r>
        <w:rPr>
          <w:rFonts w:ascii="宋体" w:hAnsi="宋体" w:hint="eastAsia"/>
        </w:rPr>
        <w:t>正，出现反向市场状态。对于容易储存的商品，反向市场就违背了持有成本理论。</w:t>
      </w:r>
    </w:p>
    <w:p w:rsidR="004165EC" w:rsidRDefault="00C97C8E">
      <w:pPr>
        <w:spacing w:line="360" w:lineRule="auto"/>
        <w:ind w:firstLineChars="200" w:firstLine="420"/>
        <w:rPr>
          <w:rFonts w:ascii="宋体" w:hAnsi="宋体"/>
        </w:rPr>
      </w:pPr>
      <w:r>
        <w:rPr>
          <w:rFonts w:ascii="宋体" w:hAnsi="宋体" w:hint="eastAsia"/>
        </w:rPr>
        <w:t>我们可以发现铜期货基本处于反向市场，豆</w:t>
      </w:r>
      <w:proofErr w:type="gramStart"/>
      <w:r>
        <w:rPr>
          <w:rFonts w:ascii="宋体" w:hAnsi="宋体" w:hint="eastAsia"/>
        </w:rPr>
        <w:t>粕</w:t>
      </w:r>
      <w:proofErr w:type="gramEnd"/>
      <w:r>
        <w:rPr>
          <w:rFonts w:ascii="宋体" w:hAnsi="宋体" w:hint="eastAsia"/>
        </w:rPr>
        <w:t>在前五周和后五周处于反向市场、中间五周处于正向市场，天然橡胶在前五周和后五周处于正向</w:t>
      </w:r>
      <w:proofErr w:type="gramStart"/>
      <w:r>
        <w:rPr>
          <w:rFonts w:ascii="宋体" w:hAnsi="宋体" w:hint="eastAsia"/>
        </w:rPr>
        <w:t>向</w:t>
      </w:r>
      <w:proofErr w:type="gramEnd"/>
      <w:r>
        <w:rPr>
          <w:rFonts w:ascii="宋体" w:hAnsi="宋体" w:hint="eastAsia"/>
        </w:rPr>
        <w:t>市场、中间五周处于反向市场。</w:t>
      </w:r>
    </w:p>
    <w:p w:rsidR="004165EC" w:rsidRDefault="00C97C8E">
      <w:pPr>
        <w:spacing w:line="360" w:lineRule="auto"/>
        <w:rPr>
          <w:rFonts w:ascii="宋体" w:hAnsi="宋体"/>
          <w:b/>
        </w:rPr>
      </w:pPr>
      <w:r>
        <w:rPr>
          <w:rFonts w:ascii="宋体" w:hAnsi="宋体" w:hint="eastAsia"/>
          <w:b/>
        </w:rPr>
        <w:t>4.3交易策略</w:t>
      </w:r>
    </w:p>
    <w:p w:rsidR="004165EC" w:rsidRDefault="00C97C8E">
      <w:pPr>
        <w:spacing w:line="360" w:lineRule="auto"/>
        <w:ind w:firstLineChars="200" w:firstLine="420"/>
        <w:rPr>
          <w:rFonts w:ascii="宋体" w:hAnsi="宋体"/>
        </w:rPr>
      </w:pPr>
      <w:r>
        <w:rPr>
          <w:rFonts w:ascii="宋体" w:hAnsi="宋体" w:hint="eastAsia"/>
        </w:rPr>
        <w:t>根据前面的结论，第一主成分(平行移动)高的解释能力源于期限结构的形状不随时间而</w:t>
      </w:r>
    </w:p>
    <w:p w:rsidR="004165EC" w:rsidRDefault="00C97C8E">
      <w:pPr>
        <w:spacing w:line="360" w:lineRule="auto"/>
        <w:rPr>
          <w:rFonts w:ascii="宋体" w:hAnsi="宋体"/>
        </w:rPr>
      </w:pPr>
      <w:r>
        <w:rPr>
          <w:rFonts w:ascii="宋体" w:hAnsi="宋体" w:hint="eastAsia"/>
        </w:rPr>
        <w:t>显著变化(因此陡度和曲率因素并不重要)，或者，价格水平的整体移动解释了曲线波动的</w:t>
      </w:r>
    </w:p>
    <w:p w:rsidR="004165EC" w:rsidRDefault="00C97C8E">
      <w:pPr>
        <w:spacing w:line="360" w:lineRule="auto"/>
        <w:rPr>
          <w:rFonts w:ascii="宋体" w:hAnsi="宋体"/>
        </w:rPr>
      </w:pPr>
      <w:r>
        <w:rPr>
          <w:rFonts w:ascii="宋体" w:hAnsi="宋体" w:hint="eastAsia"/>
        </w:rPr>
        <w:t>大部分从而让其他因素变得不重要。基于此，投资商品期货，我们考虑从以下两点切入。</w:t>
      </w:r>
    </w:p>
    <w:p w:rsidR="004165EC" w:rsidRDefault="00C97C8E">
      <w:pPr>
        <w:spacing w:line="360" w:lineRule="auto"/>
        <w:rPr>
          <w:rFonts w:ascii="宋体" w:hAnsi="宋体"/>
        </w:rPr>
      </w:pPr>
      <w:r>
        <w:rPr>
          <w:rFonts w:ascii="宋体" w:hAnsi="宋体" w:hint="eastAsia"/>
        </w:rPr>
        <w:t>首先，投资那些期限结构的形状是恒定不变的品种。这对于第一主成分有</w:t>
      </w:r>
      <w:proofErr w:type="gramStart"/>
      <w:r>
        <w:rPr>
          <w:rFonts w:ascii="宋体" w:hAnsi="宋体" w:hint="eastAsia"/>
        </w:rPr>
        <w:t>高解释</w:t>
      </w:r>
      <w:proofErr w:type="gramEnd"/>
      <w:r>
        <w:rPr>
          <w:rFonts w:ascii="宋体" w:hAnsi="宋体" w:hint="eastAsia"/>
        </w:rPr>
        <w:t>能力的商</w:t>
      </w:r>
    </w:p>
    <w:p w:rsidR="004165EC" w:rsidRDefault="00C97C8E">
      <w:pPr>
        <w:spacing w:line="360" w:lineRule="auto"/>
        <w:rPr>
          <w:rFonts w:ascii="宋体" w:hAnsi="宋体"/>
        </w:rPr>
      </w:pPr>
      <w:r>
        <w:rPr>
          <w:rFonts w:ascii="宋体" w:hAnsi="宋体" w:hint="eastAsia"/>
        </w:rPr>
        <w:t>品是很重要的。第二，通过选择期限结构曲线上期望滚动收益最高的到期日来最优化持有</w:t>
      </w:r>
    </w:p>
    <w:p w:rsidR="004165EC" w:rsidRDefault="00C97C8E">
      <w:pPr>
        <w:spacing w:line="360" w:lineRule="auto"/>
        <w:rPr>
          <w:rFonts w:ascii="宋体" w:hAnsi="宋体"/>
        </w:rPr>
      </w:pPr>
      <w:r>
        <w:rPr>
          <w:rFonts w:ascii="宋体" w:hAnsi="宋体" w:hint="eastAsia"/>
        </w:rPr>
        <w:t>的头寸，此点也是到期日T和T+1之间曲线陡度最高的情况。无论第一主成分的解释能力</w:t>
      </w:r>
    </w:p>
    <w:p w:rsidR="004165EC" w:rsidRDefault="00C97C8E">
      <w:pPr>
        <w:spacing w:line="360" w:lineRule="auto"/>
        <w:rPr>
          <w:rFonts w:ascii="宋体" w:hAnsi="宋体"/>
        </w:rPr>
      </w:pPr>
      <w:r>
        <w:rPr>
          <w:rFonts w:ascii="宋体" w:hAnsi="宋体" w:hint="eastAsia"/>
        </w:rPr>
        <w:t>如何，这都使滚动收益率最优。</w:t>
      </w:r>
    </w:p>
    <w:p w:rsidR="004165EC" w:rsidRDefault="00C97C8E">
      <w:pPr>
        <w:spacing w:line="360" w:lineRule="auto"/>
        <w:ind w:firstLine="420"/>
        <w:rPr>
          <w:rFonts w:ascii="宋体" w:hAnsi="宋体"/>
        </w:rPr>
      </w:pPr>
      <w:r>
        <w:rPr>
          <w:rFonts w:ascii="宋体" w:hAnsi="宋体" w:hint="eastAsia"/>
        </w:rPr>
        <w:t>为了更直观的说明年与年报之间期货价格期限结构不随时间显著变化，我们取每年年初、年中和年末的铜、豆</w:t>
      </w:r>
      <w:proofErr w:type="gramStart"/>
      <w:r>
        <w:rPr>
          <w:rFonts w:ascii="宋体" w:hAnsi="宋体" w:hint="eastAsia"/>
        </w:rPr>
        <w:t>粕</w:t>
      </w:r>
      <w:proofErr w:type="gramEnd"/>
      <w:r>
        <w:rPr>
          <w:rFonts w:ascii="宋体" w:hAnsi="宋体" w:hint="eastAsia"/>
        </w:rPr>
        <w:t>和天然橡胶的期货价格时间序列画出折线图如下：</w:t>
      </w:r>
    </w:p>
    <w:p w:rsidR="004165EC" w:rsidRDefault="00C97C8E">
      <w:pPr>
        <w:spacing w:line="360" w:lineRule="auto"/>
        <w:ind w:firstLine="420"/>
      </w:pPr>
      <w:r>
        <w:pict>
          <v:shape id="Picture 274" o:spid="_x0000_s1101" type="#_x0000_t75" style="position:absolute;left:0;text-align:left;margin-left:240pt;margin-top:6.35pt;width:243.75pt;height:162.85pt;z-index:16">
            <v:imagedata r:id="rId110" o:title=""/>
            <o:lock v:ext="edit" aspectratio="f"/>
          </v:shape>
        </w:pict>
      </w:r>
      <w:r>
        <w:pict>
          <v:shape id="Picture 279" o:spid="_x0000_s1102" type="#_x0000_t75" alt="标题: 铜-年初" style="position:absolute;left:0;text-align:left;margin-left:-3pt;margin-top:4.95pt;width:242.25pt;height:165pt;z-index:21">
            <v:imagedata r:id="rId111" o:title=""/>
            <o:lock v:ext="edit" aspectratio="f"/>
          </v:shape>
        </w:pict>
      </w:r>
    </w:p>
    <w:p w:rsidR="004165EC" w:rsidRDefault="004165EC">
      <w:pPr>
        <w:spacing w:line="360" w:lineRule="auto"/>
        <w:ind w:firstLine="420"/>
      </w:pPr>
    </w:p>
    <w:p w:rsidR="004165EC" w:rsidRDefault="004165EC">
      <w:pPr>
        <w:spacing w:line="360" w:lineRule="auto"/>
        <w:ind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C97C8E">
      <w:pPr>
        <w:spacing w:line="360" w:lineRule="auto"/>
        <w:ind w:firstLineChars="200" w:firstLine="420"/>
        <w:rPr>
          <w:rFonts w:ascii="宋体" w:hAnsi="宋体"/>
        </w:rPr>
      </w:pPr>
      <w:r>
        <w:pict>
          <v:shape id="Picture 275" o:spid="_x0000_s1103" type="#_x0000_t75" style="position:absolute;left:0;text-align:left;margin-left:0;margin-top:5.4pt;width:235.5pt;height:178.4pt;z-index:17">
            <v:imagedata r:id="rId112" o:title=""/>
            <o:lock v:ext="edit" aspectratio="f"/>
          </v:shape>
        </w:pict>
      </w:r>
      <w:r>
        <w:pict>
          <v:shape id="Picture 276" o:spid="_x0000_s1104" type="#_x0000_t75" style="position:absolute;left:0;text-align:left;margin-left:239.25pt;margin-top:5.4pt;width:243.75pt;height:178.4pt;z-index:18">
            <v:imagedata r:id="rId113" o:title=""/>
            <o:lock v:ext="edit" aspectratio="f"/>
          </v:shape>
        </w:pict>
      </w: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C97C8E">
      <w:pPr>
        <w:spacing w:line="360" w:lineRule="auto"/>
        <w:ind w:firstLineChars="200" w:firstLine="420"/>
        <w:rPr>
          <w:rFonts w:ascii="宋体" w:hAnsi="宋体"/>
        </w:rPr>
      </w:pPr>
      <w:r>
        <w:lastRenderedPageBreak/>
        <w:pict>
          <v:shape id="Picture 278" o:spid="_x0000_s1105" type="#_x0000_t75" style="position:absolute;left:0;text-align:left;margin-left:236.25pt;margin-top:7.4pt;width:243.75pt;height:166.45pt;z-index:20">
            <v:imagedata r:id="rId114" o:title=""/>
            <o:lock v:ext="edit" aspectratio="f"/>
          </v:shape>
        </w:pict>
      </w:r>
      <w:r>
        <w:pict>
          <v:shape id="Picture 277" o:spid="_x0000_s1106" type="#_x0000_t75" style="position:absolute;left:0;text-align:left;margin-left:.75pt;margin-top:7.4pt;width:235.5pt;height:166.45pt;z-index:19">
            <v:imagedata r:id="rId115" o:title=""/>
            <o:lock v:ext="edit" aspectratio="f"/>
          </v:shape>
        </w:pict>
      </w:r>
    </w:p>
    <w:p w:rsidR="004165EC" w:rsidRDefault="004165EC">
      <w:pPr>
        <w:spacing w:line="360" w:lineRule="auto"/>
        <w:ind w:firstLineChars="200" w:firstLine="422"/>
        <w:rPr>
          <w:rFonts w:ascii="宋体" w:hAnsi="宋体"/>
          <w:b/>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C97C8E">
      <w:pPr>
        <w:spacing w:line="360" w:lineRule="auto"/>
        <w:rPr>
          <w:rFonts w:ascii="宋体" w:hAnsi="宋体"/>
        </w:rPr>
      </w:pPr>
      <w:r>
        <w:pict>
          <v:shape id="Picture 281" o:spid="_x0000_s1107" type="#_x0000_t75" style="position:absolute;left:0;text-align:left;margin-left:236.25pt;margin-top:13.35pt;width:243.75pt;height:148.5pt;z-index:23">
            <v:imagedata r:id="rId116" o:title=""/>
            <o:lock v:ext="edit" aspectratio="f"/>
          </v:shape>
        </w:pict>
      </w:r>
      <w:r>
        <w:pict>
          <v:shape id="Picture 280" o:spid="_x0000_s1108" type="#_x0000_t75" style="position:absolute;left:0;text-align:left;margin-left:1.5pt;margin-top:12.6pt;width:235.5pt;height:148.5pt;z-index:22">
            <v:imagedata r:id="rId117" o:title=""/>
            <o:lock v:ext="edit" aspectratio="f"/>
          </v:shape>
        </w:pict>
      </w:r>
    </w:p>
    <w:p w:rsidR="004165EC" w:rsidRDefault="004165EC">
      <w:pPr>
        <w:spacing w:line="360" w:lineRule="auto"/>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C97C8E">
      <w:pPr>
        <w:spacing w:line="360" w:lineRule="auto"/>
        <w:ind w:firstLineChars="200" w:firstLine="420"/>
        <w:rPr>
          <w:rFonts w:ascii="宋体" w:hAnsi="宋体"/>
        </w:rPr>
      </w:pPr>
      <w:r>
        <w:pict>
          <v:shape id="Picture 282" o:spid="_x0000_s1109" type="#_x0000_t75" style="position:absolute;left:0;text-align:left;margin-left:1.9pt;margin-top:21.7pt;width:234.7pt;height:150.85pt;z-index:24">
            <v:imagedata r:id="rId118" o:title=""/>
            <o:lock v:ext="edit" aspectratio="f"/>
          </v:shape>
        </w:pict>
      </w: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ind w:firstLineChars="200" w:firstLine="420"/>
        <w:rPr>
          <w:rFonts w:ascii="宋体" w:hAnsi="宋体"/>
        </w:rPr>
      </w:pPr>
    </w:p>
    <w:p w:rsidR="004165EC" w:rsidRDefault="004165EC">
      <w:pPr>
        <w:spacing w:line="360" w:lineRule="auto"/>
        <w:rPr>
          <w:rFonts w:ascii="宋体" w:hAnsi="宋体"/>
        </w:rPr>
      </w:pPr>
    </w:p>
    <w:p w:rsidR="004165EC" w:rsidRDefault="004165EC">
      <w:pPr>
        <w:spacing w:line="360" w:lineRule="auto"/>
        <w:rPr>
          <w:rFonts w:ascii="宋体" w:hAnsi="宋体"/>
        </w:rPr>
      </w:pPr>
    </w:p>
    <w:p w:rsidR="004165EC" w:rsidRDefault="00C97C8E">
      <w:pPr>
        <w:spacing w:line="360" w:lineRule="auto"/>
        <w:ind w:firstLineChars="200" w:firstLine="420"/>
        <w:rPr>
          <w:rFonts w:ascii="宋体" w:hAnsi="宋体"/>
        </w:rPr>
      </w:pPr>
      <w:r>
        <w:rPr>
          <w:rFonts w:ascii="宋体" w:hAnsi="宋体" w:hint="eastAsia"/>
        </w:rPr>
        <w:t>在期限结构上，曲线的陡度在决定选择哪个合约时起到很重要的作用。通常很难去预</w:t>
      </w:r>
    </w:p>
    <w:p w:rsidR="004165EC" w:rsidRDefault="00C97C8E">
      <w:pPr>
        <w:spacing w:line="360" w:lineRule="auto"/>
        <w:rPr>
          <w:rFonts w:ascii="宋体" w:hAnsi="宋体"/>
        </w:rPr>
      </w:pPr>
      <w:r>
        <w:rPr>
          <w:rFonts w:ascii="宋体" w:hAnsi="宋体" w:hint="eastAsia"/>
        </w:rPr>
        <w:t>测一笔交易的价格走势，因为期货价格己经反映了那些因素。如果由不同到期时间到一年</w:t>
      </w:r>
    </w:p>
    <w:p w:rsidR="004165EC" w:rsidRDefault="00C97C8E">
      <w:pPr>
        <w:spacing w:line="360" w:lineRule="auto"/>
        <w:rPr>
          <w:rFonts w:ascii="宋体" w:hAnsi="宋体"/>
        </w:rPr>
      </w:pPr>
      <w:r>
        <w:rPr>
          <w:rFonts w:ascii="宋体" w:hAnsi="宋体" w:hint="eastAsia"/>
        </w:rPr>
        <w:t>浙江工商大学硕士论文期货价格期限结构隐含信息及其应用研究的期货组成的期货期限结构的正向市场，那么市场期望的现货价格在未来就会上升。为了让期货头寸获得一个正的收益，当前合约价格的增加必须大于期货价格所隐含的增加值。</w:t>
      </w:r>
    </w:p>
    <w:p w:rsidR="004165EC" w:rsidRDefault="00C97C8E">
      <w:pPr>
        <w:spacing w:line="360" w:lineRule="auto"/>
        <w:ind w:firstLineChars="200" w:firstLine="420"/>
        <w:rPr>
          <w:rFonts w:ascii="宋体" w:hAnsi="宋体"/>
        </w:rPr>
      </w:pPr>
      <w:r>
        <w:rPr>
          <w:rFonts w:ascii="宋体" w:hAnsi="宋体" w:hint="eastAsia"/>
        </w:rPr>
        <w:t>恒定时间到到期日的总收益率是展期收益和现货价格变化的总和。展期收益是指在期货合约临近到期时，卖出原有合约买入新合约获取的价差，这与该商品期货价格期限结构挂钩。如果期限结构的形状(水平，正向或</w:t>
      </w:r>
      <w:proofErr w:type="gramStart"/>
      <w:r>
        <w:rPr>
          <w:rFonts w:ascii="宋体" w:hAnsi="宋体" w:hint="eastAsia"/>
        </w:rPr>
        <w:t>反向)</w:t>
      </w:r>
      <w:proofErr w:type="gramEnd"/>
      <w:r>
        <w:rPr>
          <w:rFonts w:ascii="宋体" w:hAnsi="宋体" w:hint="eastAsia"/>
        </w:rPr>
        <w:t>从一个到期日到下一个到期日不发生变化，那么总收益率就只来自于展期。因此，在这种情况下总收益就取决于选择的合约到期时间和头寸的</w:t>
      </w:r>
      <w:r>
        <w:rPr>
          <w:rFonts w:ascii="宋体" w:hAnsi="宋体" w:hint="eastAsia"/>
        </w:rPr>
        <w:lastRenderedPageBreak/>
        <w:t>方向(多头或者空头)。例如，如果今天的燃油期货是正向市场，我们持有近期合约的多头头寸，且持有至该合约到期，当前合约到期后再向下</w:t>
      </w:r>
      <w:proofErr w:type="gramStart"/>
      <w:r>
        <w:rPr>
          <w:rFonts w:ascii="宋体" w:hAnsi="宋体" w:hint="eastAsia"/>
        </w:rPr>
        <w:t>一</w:t>
      </w:r>
      <w:proofErr w:type="gramEnd"/>
      <w:r>
        <w:rPr>
          <w:rFonts w:ascii="宋体" w:hAnsi="宋体" w:hint="eastAsia"/>
        </w:rPr>
        <w:t>近月合约展期，结果我们的展期收益为负。类似的，如果是反向市场，我们就可以获得一个正的展期收益。</w:t>
      </w:r>
    </w:p>
    <w:p w:rsidR="004165EC" w:rsidRDefault="00C97C8E">
      <w:pPr>
        <w:spacing w:line="360" w:lineRule="auto"/>
        <w:ind w:firstLineChars="200" w:firstLine="420"/>
        <w:jc w:val="left"/>
        <w:rPr>
          <w:rFonts w:ascii="宋体" w:hAnsi="宋体"/>
        </w:rPr>
      </w:pPr>
      <w:r>
        <w:rPr>
          <w:rFonts w:ascii="宋体" w:hAnsi="宋体" w:hint="eastAsia"/>
        </w:rPr>
        <w:t>如果期限结构曲线稳定，我们可以选择使收益最大化或损失最小化的合约来最优化滚动收益率，这就是在反向市场斜率(绝对值)最大点及在正向市场斜率最小点处持有期货合约。基于以上的分析，我们提出下面三种交易策略，通过多头头寸或空头头寸来选择最优合约(假设没有做空限制)。</w:t>
      </w:r>
    </w:p>
    <w:p w:rsidR="004165EC" w:rsidRDefault="00C97C8E">
      <w:pPr>
        <w:spacing w:line="360" w:lineRule="auto"/>
        <w:ind w:firstLineChars="200" w:firstLine="422"/>
        <w:jc w:val="left"/>
        <w:rPr>
          <w:rFonts w:ascii="宋体" w:hAnsi="宋体"/>
        </w:rPr>
      </w:pPr>
      <w:r>
        <w:rPr>
          <w:rFonts w:ascii="宋体" w:hAnsi="宋体" w:hint="eastAsia"/>
          <w:b/>
        </w:rPr>
        <w:t>交易策略</w:t>
      </w:r>
      <w:r>
        <w:rPr>
          <w:rFonts w:ascii="宋体" w:hAnsi="宋体" w:hint="eastAsia"/>
        </w:rPr>
        <w:t>：根据期货价格期限结构曲线的形状或持有合约多头或持有合约空头。在正向市场，我们持有空头合约，该合约的到期日对应期限结构曲线最大斜率点处，以获得最大滚动收益。在反向市场，我们持有多头合约，该合约的到期日对应期限结构曲线最大斜率(绝对值)点处，以获得期望的最大滚动收益。</w:t>
      </w:r>
    </w:p>
    <w:p w:rsidR="004165EC" w:rsidRDefault="00C97C8E">
      <w:pPr>
        <w:spacing w:line="360" w:lineRule="auto"/>
        <w:ind w:firstLineChars="200" w:firstLine="420"/>
        <w:jc w:val="left"/>
        <w:rPr>
          <w:rFonts w:ascii="宋体" w:hAnsi="宋体"/>
        </w:rPr>
      </w:pPr>
      <w:r>
        <w:pict>
          <v:shape id="Picture 284" o:spid="_x0000_s1110" type="#_x0000_t75" style="position:absolute;left:0;text-align:left;margin-left:27.75pt;margin-top:18.9pt;width:333pt;height:180.85pt;z-index:25">
            <v:imagedata r:id="rId119" o:title=""/>
            <o:lock v:ext="edit" aspectratio="f"/>
          </v:shape>
        </w:pict>
      </w:r>
      <w:r>
        <w:rPr>
          <w:rFonts w:ascii="宋体" w:hAnsi="宋体" w:hint="eastAsia"/>
        </w:rPr>
        <w:t>下面以铜2008年1月4日数据为例，探讨如何制定交易策略。</w:t>
      </w:r>
    </w:p>
    <w:p w:rsidR="004165EC" w:rsidRDefault="004165EC">
      <w:pPr>
        <w:spacing w:line="360" w:lineRule="auto"/>
        <w:rPr>
          <w:rFonts w:ascii="宋体" w:hAnsi="宋体"/>
          <w:b/>
          <w:bCs/>
          <w:sz w:val="28"/>
          <w:szCs w:val="28"/>
        </w:rPr>
      </w:pPr>
    </w:p>
    <w:p w:rsidR="004165EC" w:rsidRDefault="004165EC">
      <w:pPr>
        <w:spacing w:line="360" w:lineRule="auto"/>
        <w:rPr>
          <w:rFonts w:ascii="宋体" w:hAnsi="宋体"/>
          <w:b/>
          <w:bCs/>
          <w:sz w:val="28"/>
          <w:szCs w:val="28"/>
        </w:rPr>
      </w:pPr>
    </w:p>
    <w:p w:rsidR="004165EC" w:rsidRDefault="004165EC">
      <w:pPr>
        <w:spacing w:line="360" w:lineRule="auto"/>
        <w:rPr>
          <w:rFonts w:ascii="宋体" w:hAnsi="宋体"/>
          <w:b/>
          <w:bCs/>
          <w:sz w:val="28"/>
          <w:szCs w:val="28"/>
        </w:rPr>
      </w:pPr>
    </w:p>
    <w:p w:rsidR="004165EC" w:rsidRDefault="004165EC">
      <w:pPr>
        <w:spacing w:line="360" w:lineRule="auto"/>
        <w:rPr>
          <w:rFonts w:ascii="宋体" w:hAnsi="宋体"/>
          <w:b/>
          <w:bCs/>
          <w:sz w:val="28"/>
          <w:szCs w:val="28"/>
        </w:rPr>
      </w:pPr>
    </w:p>
    <w:p w:rsidR="004165EC" w:rsidRDefault="004165EC">
      <w:pPr>
        <w:spacing w:line="360" w:lineRule="auto"/>
        <w:rPr>
          <w:rFonts w:ascii="宋体" w:hAnsi="宋体"/>
          <w:b/>
          <w:bCs/>
          <w:sz w:val="28"/>
          <w:szCs w:val="28"/>
        </w:rPr>
      </w:pPr>
    </w:p>
    <w:p w:rsidR="004165EC" w:rsidRDefault="004165EC">
      <w:pPr>
        <w:spacing w:line="360" w:lineRule="auto"/>
        <w:rPr>
          <w:rFonts w:ascii="宋体" w:hAnsi="宋体"/>
          <w:b/>
          <w:bCs/>
          <w:sz w:val="28"/>
          <w:szCs w:val="28"/>
        </w:rPr>
      </w:pPr>
    </w:p>
    <w:p w:rsidR="004165EC" w:rsidRDefault="00C97C8E">
      <w:pPr>
        <w:spacing w:line="360" w:lineRule="auto"/>
        <w:ind w:firstLine="420"/>
        <w:rPr>
          <w:rFonts w:ascii="宋体" w:hAnsi="宋体"/>
          <w:bCs/>
          <w:szCs w:val="21"/>
        </w:rPr>
      </w:pPr>
      <w:r>
        <w:rPr>
          <w:rFonts w:ascii="宋体" w:hAnsi="宋体" w:hint="eastAsia"/>
          <w:bCs/>
          <w:szCs w:val="21"/>
        </w:rPr>
        <w:t>从图中可以看出，2008年1月4日铜期货期限价格结构处于反向市场。蓝色线代表一月合约到十二月合约的价格在2008年1月4日这一天的价格，按照之前的理论证明，期货期限结构没有显著变化，即期限结构可以平移，我们预测至2008年2月5日，代表一月合约到十二月合约的价格如图中红色线所示。</w:t>
      </w:r>
    </w:p>
    <w:p w:rsidR="004165EC" w:rsidRDefault="00C97C8E">
      <w:pPr>
        <w:spacing w:line="360" w:lineRule="auto"/>
        <w:ind w:firstLine="420"/>
        <w:rPr>
          <w:rFonts w:ascii="宋体" w:hAnsi="宋体"/>
          <w:bCs/>
          <w:szCs w:val="21"/>
        </w:rPr>
      </w:pPr>
      <w:r>
        <w:rPr>
          <w:rFonts w:ascii="宋体" w:hAnsi="宋体" w:hint="eastAsia"/>
          <w:bCs/>
          <w:szCs w:val="21"/>
        </w:rPr>
        <w:t>例如我们在1月4日买入2月份合约，那么到下一个月这个合约价格升高，此时卖出该合约，我们可以赚取差价。关于买入或卖出合约选择，我们选取斜率最大或者说价差最大的两个合约中的后一个月份合约。在2008年1月4日这一天，我们就买入3月份合约，在四周后平仓，然后在观察当日期限结构，同样分析，选择期货合约，决定买入（反向市场）或卖出（正向市场）。</w:t>
      </w:r>
    </w:p>
    <w:p w:rsidR="004165EC" w:rsidRDefault="00C97C8E">
      <w:pPr>
        <w:spacing w:line="360" w:lineRule="auto"/>
        <w:ind w:firstLine="420"/>
        <w:rPr>
          <w:rFonts w:ascii="宋体" w:hAnsi="宋体"/>
          <w:bCs/>
          <w:szCs w:val="21"/>
        </w:rPr>
      </w:pPr>
      <w:r>
        <w:rPr>
          <w:rFonts w:ascii="宋体" w:hAnsi="宋体" w:hint="eastAsia"/>
          <w:bCs/>
          <w:szCs w:val="21"/>
        </w:rPr>
        <w:t>一个月中有四个周，每一周如此分析，做决策。对2008年至2014年铜、豆</w:t>
      </w:r>
      <w:proofErr w:type="gramStart"/>
      <w:r>
        <w:rPr>
          <w:rFonts w:ascii="宋体" w:hAnsi="宋体" w:hint="eastAsia"/>
          <w:bCs/>
          <w:szCs w:val="21"/>
        </w:rPr>
        <w:t>粕</w:t>
      </w:r>
      <w:proofErr w:type="gramEnd"/>
      <w:r>
        <w:rPr>
          <w:rFonts w:ascii="宋体" w:hAnsi="宋体" w:hint="eastAsia"/>
          <w:bCs/>
          <w:szCs w:val="21"/>
        </w:rPr>
        <w:t>、天然橡</w:t>
      </w:r>
      <w:r>
        <w:rPr>
          <w:rFonts w:ascii="宋体" w:hAnsi="宋体" w:hint="eastAsia"/>
          <w:bCs/>
          <w:szCs w:val="21"/>
        </w:rPr>
        <w:lastRenderedPageBreak/>
        <w:t>胶和铝的数据进行验证分析，得到收益率并计算平均收益率，再乘以12得到年收益率。结果如下表所示。</w:t>
      </w:r>
    </w:p>
    <w:tbl>
      <w:tblPr>
        <w:tblW w:w="8522" w:type="dxa"/>
        <w:tblBorders>
          <w:top w:val="single" w:sz="8" w:space="0" w:color="4BACC6"/>
          <w:bottom w:val="single" w:sz="8" w:space="0" w:color="4BACC6"/>
        </w:tblBorders>
        <w:tblLayout w:type="fixed"/>
        <w:tblLook w:val="04A0" w:firstRow="1" w:lastRow="0" w:firstColumn="1" w:lastColumn="0" w:noHBand="0" w:noVBand="1"/>
      </w:tblPr>
      <w:tblGrid>
        <w:gridCol w:w="2865"/>
        <w:gridCol w:w="2791"/>
        <w:gridCol w:w="2866"/>
      </w:tblGrid>
      <w:tr w:rsidR="004165EC">
        <w:tc>
          <w:tcPr>
            <w:tcW w:w="2865" w:type="dxa"/>
            <w:tcBorders>
              <w:top w:val="single" w:sz="8" w:space="0" w:color="4BACC6"/>
              <w:bottom w:val="single" w:sz="8" w:space="0" w:color="4BACC6"/>
            </w:tcBorders>
          </w:tcPr>
          <w:p w:rsidR="004165EC" w:rsidRDefault="00C97C8E">
            <w:pPr>
              <w:spacing w:line="360" w:lineRule="auto"/>
              <w:jc w:val="center"/>
              <w:rPr>
                <w:rFonts w:ascii="宋体" w:hAnsi="宋体"/>
                <w:b/>
                <w:bCs/>
                <w:color w:val="31849B"/>
                <w:szCs w:val="21"/>
              </w:rPr>
            </w:pPr>
            <w:r>
              <w:rPr>
                <w:rFonts w:ascii="宋体" w:hAnsi="宋体" w:hint="eastAsia"/>
                <w:b/>
                <w:bCs/>
                <w:color w:val="31849B"/>
                <w:szCs w:val="21"/>
              </w:rPr>
              <w:t>品种</w:t>
            </w:r>
          </w:p>
        </w:tc>
        <w:tc>
          <w:tcPr>
            <w:tcW w:w="2791" w:type="dxa"/>
            <w:tcBorders>
              <w:top w:val="single" w:sz="8" w:space="0" w:color="4BACC6"/>
              <w:bottom w:val="single" w:sz="8" w:space="0" w:color="4BACC6"/>
            </w:tcBorders>
          </w:tcPr>
          <w:p w:rsidR="004165EC" w:rsidRDefault="00C97C8E">
            <w:pPr>
              <w:spacing w:line="360" w:lineRule="auto"/>
              <w:jc w:val="center"/>
              <w:rPr>
                <w:rFonts w:ascii="宋体" w:hAnsi="宋体"/>
                <w:b/>
                <w:bCs/>
                <w:color w:val="31849B"/>
                <w:szCs w:val="21"/>
              </w:rPr>
            </w:pPr>
            <w:r>
              <w:rPr>
                <w:rFonts w:ascii="宋体" w:hAnsi="宋体" w:hint="eastAsia"/>
                <w:b/>
                <w:bCs/>
                <w:color w:val="31849B"/>
                <w:szCs w:val="21"/>
              </w:rPr>
              <w:t>月平均收益率</w:t>
            </w:r>
          </w:p>
        </w:tc>
        <w:tc>
          <w:tcPr>
            <w:tcW w:w="2866" w:type="dxa"/>
            <w:tcBorders>
              <w:top w:val="single" w:sz="8" w:space="0" w:color="4BACC6"/>
              <w:bottom w:val="single" w:sz="8" w:space="0" w:color="4BACC6"/>
            </w:tcBorders>
          </w:tcPr>
          <w:p w:rsidR="004165EC" w:rsidRDefault="00C97C8E">
            <w:pPr>
              <w:spacing w:line="360" w:lineRule="auto"/>
              <w:jc w:val="center"/>
              <w:rPr>
                <w:rFonts w:ascii="宋体" w:hAnsi="宋体"/>
                <w:b/>
                <w:bCs/>
                <w:color w:val="31849B"/>
                <w:szCs w:val="21"/>
              </w:rPr>
            </w:pPr>
            <w:r>
              <w:rPr>
                <w:rFonts w:ascii="宋体" w:hAnsi="宋体" w:hint="eastAsia"/>
                <w:b/>
                <w:bCs/>
                <w:color w:val="31849B"/>
                <w:szCs w:val="21"/>
              </w:rPr>
              <w:t>年平均收益率</w:t>
            </w:r>
          </w:p>
        </w:tc>
      </w:tr>
      <w:tr w:rsidR="004165EC">
        <w:tc>
          <w:tcPr>
            <w:tcW w:w="2865" w:type="dxa"/>
            <w:shd w:val="clear" w:color="auto" w:fill="D2EAF1"/>
          </w:tcPr>
          <w:p w:rsidR="004165EC" w:rsidRDefault="00C97C8E">
            <w:pPr>
              <w:spacing w:line="360" w:lineRule="auto"/>
              <w:jc w:val="center"/>
              <w:rPr>
                <w:rFonts w:ascii="宋体" w:hAnsi="宋体"/>
                <w:b/>
                <w:bCs/>
                <w:color w:val="31849B"/>
                <w:szCs w:val="21"/>
              </w:rPr>
            </w:pPr>
            <w:r>
              <w:rPr>
                <w:rFonts w:ascii="宋体" w:hAnsi="宋体" w:hint="eastAsia"/>
                <w:b/>
                <w:bCs/>
                <w:color w:val="31849B"/>
                <w:szCs w:val="21"/>
              </w:rPr>
              <w:t>铜</w:t>
            </w:r>
          </w:p>
        </w:tc>
        <w:tc>
          <w:tcPr>
            <w:tcW w:w="2791" w:type="dxa"/>
            <w:tcBorders>
              <w:left w:val="nil"/>
              <w:right w:val="nil"/>
            </w:tcBorders>
            <w:shd w:val="clear" w:color="auto" w:fill="D2EAF1"/>
          </w:tcPr>
          <w:p w:rsidR="004165EC" w:rsidRDefault="00C97C8E">
            <w:pPr>
              <w:spacing w:line="360" w:lineRule="auto"/>
              <w:jc w:val="center"/>
              <w:rPr>
                <w:rFonts w:ascii="宋体" w:hAnsi="宋体"/>
                <w:bCs/>
                <w:color w:val="31849B"/>
                <w:szCs w:val="21"/>
              </w:rPr>
            </w:pPr>
            <w:r>
              <w:rPr>
                <w:rFonts w:ascii="宋体" w:hAnsi="宋体" w:hint="eastAsia"/>
                <w:bCs/>
                <w:color w:val="31849B"/>
                <w:szCs w:val="21"/>
              </w:rPr>
              <w:t>0.0149</w:t>
            </w:r>
          </w:p>
        </w:tc>
        <w:tc>
          <w:tcPr>
            <w:tcW w:w="2866" w:type="dxa"/>
            <w:shd w:val="clear" w:color="auto" w:fill="D2EAF1"/>
          </w:tcPr>
          <w:p w:rsidR="004165EC" w:rsidRDefault="00C97C8E">
            <w:pPr>
              <w:spacing w:line="360" w:lineRule="auto"/>
              <w:jc w:val="center"/>
              <w:rPr>
                <w:rFonts w:ascii="宋体" w:hAnsi="宋体"/>
                <w:bCs/>
                <w:color w:val="31849B"/>
                <w:szCs w:val="21"/>
              </w:rPr>
            </w:pPr>
            <w:r>
              <w:rPr>
                <w:rFonts w:ascii="宋体" w:hAnsi="宋体" w:hint="eastAsia"/>
                <w:bCs/>
                <w:color w:val="31849B"/>
                <w:szCs w:val="21"/>
              </w:rPr>
              <w:t>0.1788</w:t>
            </w:r>
          </w:p>
        </w:tc>
      </w:tr>
      <w:tr w:rsidR="004165EC">
        <w:tc>
          <w:tcPr>
            <w:tcW w:w="2865" w:type="dxa"/>
          </w:tcPr>
          <w:p w:rsidR="004165EC" w:rsidRDefault="00C97C8E">
            <w:pPr>
              <w:spacing w:line="360" w:lineRule="auto"/>
              <w:jc w:val="center"/>
              <w:rPr>
                <w:rFonts w:ascii="宋体" w:hAnsi="宋体"/>
                <w:b/>
                <w:bCs/>
                <w:color w:val="31849B"/>
                <w:szCs w:val="21"/>
              </w:rPr>
            </w:pPr>
            <w:r>
              <w:rPr>
                <w:rFonts w:ascii="宋体" w:hAnsi="宋体" w:hint="eastAsia"/>
                <w:b/>
                <w:bCs/>
                <w:color w:val="31849B"/>
                <w:szCs w:val="21"/>
              </w:rPr>
              <w:t>铝</w:t>
            </w:r>
          </w:p>
        </w:tc>
        <w:tc>
          <w:tcPr>
            <w:tcW w:w="2791" w:type="dxa"/>
          </w:tcPr>
          <w:p w:rsidR="004165EC" w:rsidRDefault="00C97C8E">
            <w:pPr>
              <w:spacing w:line="360" w:lineRule="auto"/>
              <w:jc w:val="center"/>
              <w:rPr>
                <w:rFonts w:ascii="宋体" w:hAnsi="宋体"/>
                <w:bCs/>
                <w:color w:val="31849B"/>
                <w:szCs w:val="21"/>
              </w:rPr>
            </w:pPr>
            <w:r>
              <w:rPr>
                <w:rFonts w:ascii="宋体" w:hAnsi="宋体" w:hint="eastAsia"/>
                <w:bCs/>
                <w:color w:val="31849B"/>
                <w:szCs w:val="21"/>
              </w:rPr>
              <w:t>0.0231</w:t>
            </w:r>
          </w:p>
        </w:tc>
        <w:tc>
          <w:tcPr>
            <w:tcW w:w="2866" w:type="dxa"/>
          </w:tcPr>
          <w:p w:rsidR="004165EC" w:rsidRDefault="00C97C8E">
            <w:pPr>
              <w:spacing w:line="360" w:lineRule="auto"/>
              <w:jc w:val="center"/>
              <w:rPr>
                <w:rFonts w:ascii="宋体" w:hAnsi="宋体"/>
                <w:bCs/>
                <w:color w:val="31849B"/>
                <w:szCs w:val="21"/>
              </w:rPr>
            </w:pPr>
            <w:r>
              <w:rPr>
                <w:rFonts w:ascii="宋体" w:hAnsi="宋体" w:hint="eastAsia"/>
                <w:bCs/>
                <w:color w:val="31849B"/>
                <w:szCs w:val="21"/>
              </w:rPr>
              <w:t>0.2772</w:t>
            </w:r>
          </w:p>
        </w:tc>
      </w:tr>
      <w:tr w:rsidR="004165EC">
        <w:tc>
          <w:tcPr>
            <w:tcW w:w="2865" w:type="dxa"/>
            <w:shd w:val="clear" w:color="auto" w:fill="D2EAF1"/>
          </w:tcPr>
          <w:p w:rsidR="004165EC" w:rsidRDefault="00C97C8E">
            <w:pPr>
              <w:spacing w:line="360" w:lineRule="auto"/>
              <w:jc w:val="center"/>
              <w:rPr>
                <w:rFonts w:ascii="宋体" w:hAnsi="宋体"/>
                <w:b/>
                <w:bCs/>
                <w:color w:val="31849B"/>
                <w:szCs w:val="21"/>
              </w:rPr>
            </w:pPr>
            <w:r>
              <w:rPr>
                <w:rFonts w:ascii="宋体" w:hAnsi="宋体" w:hint="eastAsia"/>
                <w:b/>
                <w:bCs/>
                <w:color w:val="31849B"/>
                <w:szCs w:val="21"/>
              </w:rPr>
              <w:t>天然橡胶</w:t>
            </w:r>
          </w:p>
        </w:tc>
        <w:tc>
          <w:tcPr>
            <w:tcW w:w="2791" w:type="dxa"/>
            <w:tcBorders>
              <w:left w:val="nil"/>
              <w:right w:val="nil"/>
            </w:tcBorders>
            <w:shd w:val="clear" w:color="auto" w:fill="D2EAF1"/>
          </w:tcPr>
          <w:p w:rsidR="004165EC" w:rsidRDefault="00C97C8E">
            <w:pPr>
              <w:spacing w:line="360" w:lineRule="auto"/>
              <w:jc w:val="center"/>
              <w:rPr>
                <w:rFonts w:ascii="宋体" w:hAnsi="宋体"/>
                <w:bCs/>
                <w:color w:val="31849B"/>
                <w:szCs w:val="21"/>
              </w:rPr>
            </w:pPr>
            <w:r>
              <w:rPr>
                <w:rFonts w:ascii="宋体" w:hAnsi="宋体" w:hint="eastAsia"/>
                <w:bCs/>
                <w:color w:val="31849B"/>
                <w:szCs w:val="21"/>
              </w:rPr>
              <w:t>0.0432</w:t>
            </w:r>
          </w:p>
        </w:tc>
        <w:tc>
          <w:tcPr>
            <w:tcW w:w="2866" w:type="dxa"/>
            <w:shd w:val="clear" w:color="auto" w:fill="D2EAF1"/>
          </w:tcPr>
          <w:p w:rsidR="004165EC" w:rsidRDefault="00C97C8E">
            <w:pPr>
              <w:spacing w:line="360" w:lineRule="auto"/>
              <w:jc w:val="center"/>
              <w:rPr>
                <w:rFonts w:ascii="宋体" w:hAnsi="宋体"/>
                <w:bCs/>
                <w:color w:val="31849B"/>
                <w:szCs w:val="21"/>
              </w:rPr>
            </w:pPr>
            <w:r>
              <w:rPr>
                <w:rFonts w:ascii="宋体" w:hAnsi="宋体" w:hint="eastAsia"/>
                <w:bCs/>
                <w:color w:val="31849B"/>
                <w:szCs w:val="21"/>
              </w:rPr>
              <w:t>0.5164</w:t>
            </w:r>
          </w:p>
        </w:tc>
      </w:tr>
      <w:tr w:rsidR="004165EC">
        <w:tc>
          <w:tcPr>
            <w:tcW w:w="2865" w:type="dxa"/>
          </w:tcPr>
          <w:p w:rsidR="004165EC" w:rsidRDefault="00C97C8E">
            <w:pPr>
              <w:spacing w:line="360" w:lineRule="auto"/>
              <w:jc w:val="center"/>
              <w:rPr>
                <w:rFonts w:ascii="宋体" w:hAnsi="宋体"/>
                <w:b/>
                <w:bCs/>
                <w:color w:val="31849B"/>
                <w:szCs w:val="21"/>
              </w:rPr>
            </w:pPr>
            <w:r>
              <w:rPr>
                <w:rFonts w:ascii="宋体" w:hAnsi="宋体" w:hint="eastAsia"/>
                <w:b/>
                <w:bCs/>
                <w:color w:val="31849B"/>
                <w:szCs w:val="21"/>
              </w:rPr>
              <w:t>豆</w:t>
            </w:r>
            <w:proofErr w:type="gramStart"/>
            <w:r>
              <w:rPr>
                <w:rFonts w:ascii="宋体" w:hAnsi="宋体" w:hint="eastAsia"/>
                <w:b/>
                <w:bCs/>
                <w:color w:val="31849B"/>
                <w:szCs w:val="21"/>
              </w:rPr>
              <w:t>粕</w:t>
            </w:r>
            <w:proofErr w:type="gramEnd"/>
          </w:p>
        </w:tc>
        <w:tc>
          <w:tcPr>
            <w:tcW w:w="2791" w:type="dxa"/>
          </w:tcPr>
          <w:p w:rsidR="004165EC" w:rsidRDefault="00C97C8E">
            <w:pPr>
              <w:spacing w:line="360" w:lineRule="auto"/>
              <w:jc w:val="center"/>
              <w:rPr>
                <w:rFonts w:ascii="宋体" w:hAnsi="宋体"/>
                <w:bCs/>
                <w:color w:val="31849B"/>
                <w:szCs w:val="21"/>
              </w:rPr>
            </w:pPr>
            <w:r>
              <w:rPr>
                <w:rFonts w:ascii="宋体" w:hAnsi="宋体" w:hint="eastAsia"/>
                <w:bCs/>
                <w:color w:val="31849B"/>
                <w:szCs w:val="21"/>
              </w:rPr>
              <w:t>-0.0111</w:t>
            </w:r>
          </w:p>
        </w:tc>
        <w:tc>
          <w:tcPr>
            <w:tcW w:w="2866" w:type="dxa"/>
          </w:tcPr>
          <w:p w:rsidR="004165EC" w:rsidRDefault="00C97C8E">
            <w:pPr>
              <w:spacing w:line="360" w:lineRule="auto"/>
              <w:jc w:val="center"/>
              <w:rPr>
                <w:rFonts w:ascii="宋体" w:hAnsi="宋体"/>
                <w:bCs/>
                <w:color w:val="31849B"/>
                <w:szCs w:val="21"/>
              </w:rPr>
            </w:pPr>
            <w:r>
              <w:rPr>
                <w:rFonts w:ascii="宋体" w:hAnsi="宋体" w:hint="eastAsia"/>
                <w:bCs/>
                <w:color w:val="31849B"/>
                <w:szCs w:val="21"/>
              </w:rPr>
              <w:t>-0.1332</w:t>
            </w:r>
          </w:p>
        </w:tc>
      </w:tr>
    </w:tbl>
    <w:p w:rsidR="004165EC" w:rsidRDefault="00C97C8E">
      <w:pPr>
        <w:spacing w:line="360" w:lineRule="auto"/>
        <w:ind w:firstLine="420"/>
        <w:rPr>
          <w:rFonts w:ascii="宋体" w:hAnsi="宋体"/>
          <w:bCs/>
          <w:szCs w:val="21"/>
        </w:rPr>
      </w:pPr>
      <w:r>
        <w:pict>
          <v:shape id="Picture 498" o:spid="_x0000_s1111" type="#_x0000_t75" style="position:absolute;left:0;text-align:left;margin-left:240.1pt;margin-top:.65pt;width:233.5pt;height:179.4pt;z-index:28;mso-position-horizontal-relative:text;mso-position-vertical-relative:text">
            <v:imagedata r:id="rId120" o:title="CU2"/>
          </v:shape>
        </w:pict>
      </w:r>
      <w:r>
        <w:pict>
          <v:shape id="Picture 497" o:spid="_x0000_s1112" type="#_x0000_t75" style="position:absolute;left:0;text-align:left;margin-left:-7.8pt;margin-top:5.9pt;width:234.05pt;height:180pt;z-index:27;mso-position-horizontal-relative:text;mso-position-vertical-relative:text">
            <v:imagedata r:id="rId121" o:title="AL2"/>
          </v:shape>
        </w:pict>
      </w: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C97C8E">
      <w:pPr>
        <w:spacing w:line="360" w:lineRule="auto"/>
        <w:ind w:firstLine="420"/>
        <w:rPr>
          <w:rFonts w:ascii="宋体" w:hAnsi="宋体"/>
          <w:bCs/>
          <w:szCs w:val="21"/>
        </w:rPr>
      </w:pPr>
      <w:r>
        <w:pict>
          <v:shape id="Picture 496" o:spid="_x0000_s1113" type="#_x0000_t75" style="position:absolute;left:0;text-align:left;margin-left:-12.65pt;margin-top:3.85pt;width:256.85pt;height:182.85pt;z-index:26">
            <v:imagedata r:id="rId122" o:title="RU"/>
          </v:shape>
        </w:pict>
      </w: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ind w:firstLine="420"/>
        <w:rPr>
          <w:rFonts w:ascii="宋体" w:hAnsi="宋体"/>
          <w:bCs/>
          <w:szCs w:val="21"/>
        </w:rPr>
      </w:pPr>
    </w:p>
    <w:p w:rsidR="004165EC" w:rsidRDefault="004165EC">
      <w:pPr>
        <w:spacing w:line="360" w:lineRule="auto"/>
        <w:rPr>
          <w:rFonts w:ascii="宋体" w:hAnsi="宋体"/>
          <w:bCs/>
          <w:szCs w:val="21"/>
        </w:rPr>
      </w:pPr>
    </w:p>
    <w:p w:rsidR="004165EC" w:rsidRDefault="00C97C8E">
      <w:pPr>
        <w:spacing w:line="360" w:lineRule="auto"/>
        <w:ind w:firstLine="420"/>
        <w:rPr>
          <w:rFonts w:ascii="宋体" w:hAnsi="宋体"/>
          <w:bCs/>
          <w:szCs w:val="21"/>
        </w:rPr>
      </w:pPr>
      <w:r>
        <w:rPr>
          <w:rFonts w:ascii="宋体" w:hAnsi="宋体" w:hint="eastAsia"/>
          <w:bCs/>
          <w:szCs w:val="21"/>
        </w:rPr>
        <w:t>再考虑到期货收益是保证金交易，此策略的收益情况比较可观。</w:t>
      </w:r>
    </w:p>
    <w:p w:rsidR="004165EC" w:rsidRDefault="00C97C8E">
      <w:pPr>
        <w:spacing w:line="360" w:lineRule="auto"/>
        <w:rPr>
          <w:rFonts w:ascii="宋体" w:hAnsi="宋体"/>
          <w:b/>
          <w:bCs/>
          <w:sz w:val="24"/>
          <w:szCs w:val="24"/>
        </w:rPr>
      </w:pPr>
      <w:r>
        <w:rPr>
          <w:rFonts w:ascii="宋体" w:hAnsi="宋体" w:hint="eastAsia"/>
          <w:b/>
          <w:bCs/>
          <w:sz w:val="24"/>
          <w:szCs w:val="24"/>
        </w:rPr>
        <w:t>5 交易策略选择（期货价格时间序列重标极差法）</w:t>
      </w:r>
    </w:p>
    <w:p w:rsidR="004165EC" w:rsidRDefault="00C97C8E">
      <w:pPr>
        <w:spacing w:line="360" w:lineRule="auto"/>
        <w:rPr>
          <w:rFonts w:ascii="宋体" w:hAnsi="宋体"/>
          <w:b/>
          <w:bCs/>
          <w:szCs w:val="21"/>
        </w:rPr>
      </w:pPr>
      <w:r>
        <w:rPr>
          <w:rFonts w:ascii="宋体" w:hAnsi="宋体" w:hint="eastAsia"/>
          <w:b/>
          <w:bCs/>
          <w:szCs w:val="21"/>
        </w:rPr>
        <w:t>5.1期货价格时间序列重标极差法简介</w:t>
      </w:r>
    </w:p>
    <w:p w:rsidR="004165EC" w:rsidRDefault="00C97C8E">
      <w:pPr>
        <w:spacing w:line="360" w:lineRule="auto"/>
        <w:ind w:firstLineChars="200" w:firstLine="420"/>
        <w:rPr>
          <w:rFonts w:ascii="宋体" w:hAnsi="宋体"/>
          <w:bCs/>
          <w:szCs w:val="21"/>
        </w:rPr>
      </w:pPr>
      <w:r>
        <w:rPr>
          <w:rFonts w:ascii="宋体" w:hAnsi="宋体" w:hint="eastAsia"/>
          <w:bCs/>
          <w:szCs w:val="21"/>
        </w:rPr>
        <w:t>分形时间序列的重标极差分析，又称R/S分析方法。水文专家Hurst在研究尼罗河泛滥的记录时发现其水流量并不是一个随机过程,它们似乎呈现出循环,长度是非周期的。</w:t>
      </w:r>
      <w:proofErr w:type="gramStart"/>
      <w:r>
        <w:rPr>
          <w:rFonts w:ascii="宋体" w:hAnsi="宋体" w:hint="eastAsia"/>
          <w:bCs/>
          <w:szCs w:val="21"/>
        </w:rPr>
        <w:t>赫</w:t>
      </w:r>
      <w:proofErr w:type="gramEnd"/>
      <w:r>
        <w:rPr>
          <w:rFonts w:ascii="宋体" w:hAnsi="宋体" w:hint="eastAsia"/>
          <w:bCs/>
          <w:szCs w:val="21"/>
        </w:rPr>
        <w:t>斯特提出了R /S分析法，不限定时间序列的线性特征，对序列本身数值进行结构分析，没有将</w:t>
      </w:r>
      <w:r>
        <w:rPr>
          <w:rFonts w:ascii="宋体" w:hAnsi="宋体" w:hint="eastAsia"/>
          <w:bCs/>
          <w:szCs w:val="21"/>
        </w:rPr>
        <w:lastRenderedPageBreak/>
        <w:t>其与稳步递增的时间标示相关联，将原序列按比例分段，用逐段讨论与综合分析相结合，研究序列的长期关联性和记忆性，最终是得出Hurst指数来衡量序列的长期性。</w:t>
      </w:r>
    </w:p>
    <w:p w:rsidR="004165EC" w:rsidRDefault="00C97C8E">
      <w:pPr>
        <w:spacing w:line="360" w:lineRule="auto"/>
        <w:ind w:firstLineChars="200" w:firstLine="420"/>
        <w:rPr>
          <w:rFonts w:ascii="宋体" w:hAnsi="宋体"/>
          <w:bCs/>
          <w:szCs w:val="21"/>
        </w:rPr>
      </w:pPr>
      <w:r>
        <w:rPr>
          <w:rFonts w:ascii="宋体" w:hAnsi="宋体"/>
          <w:bCs/>
          <w:szCs w:val="21"/>
        </w:rPr>
        <w:pict>
          <v:shape id="Picture 715" o:spid="_x0000_s1436" type="#_x0000_t75" style="position:absolute;left:0;text-align:left;margin-left:181.4pt;margin-top:26.4pt;width:143pt;height:34pt;z-index:32">
            <v:imagedata r:id="rId123" o:title=""/>
          </v:shape>
          <o:OLEObject Type="Embed" ProgID="Equation.DSMT4" ShapeID="Picture 715" DrawAspect="Content" ObjectID="_1480851547" r:id="rId124"/>
        </w:pict>
      </w:r>
      <w:r>
        <w:rPr>
          <w:rFonts w:ascii="宋体" w:hAnsi="宋体" w:hint="eastAsia"/>
          <w:bCs/>
          <w:szCs w:val="21"/>
        </w:rPr>
        <w:t>重标极差的一般形式：设有一时间序列：</w:t>
      </w:r>
      <w:r>
        <w:rPr>
          <w:rFonts w:ascii="楷体" w:eastAsia="楷体" w:hAnsi="楷体"/>
          <w:sz w:val="24"/>
          <w:szCs w:val="24"/>
        </w:rPr>
        <w:fldChar w:fldCharType="begin"/>
      </w:r>
      <w:r>
        <w:rPr>
          <w:rFonts w:ascii="楷体" w:eastAsia="楷体" w:hAnsi="楷体"/>
          <w:sz w:val="24"/>
          <w:szCs w:val="24"/>
        </w:rPr>
        <w:instrText xml:space="preserve"> QUOTE </w:instrText>
      </w:r>
      <w:r>
        <w:rPr>
          <w:position w:val="-6"/>
        </w:rPr>
        <w:pict>
          <v:shape id="Picture 221" o:spid="_x0000_i1079" type="#_x0000_t75" style="width:28.5pt;height:15.75pt">
            <v:imagedata r:id="rId125" o:title="" chromakey="white"/>
          </v:shape>
        </w:pict>
      </w:r>
      <w:r>
        <w:rPr>
          <w:rFonts w:ascii="楷体" w:eastAsia="楷体" w:hAnsi="楷体"/>
          <w:sz w:val="24"/>
          <w:szCs w:val="24"/>
        </w:rPr>
        <w:instrText xml:space="preserve"> </w:instrText>
      </w:r>
      <w:r>
        <w:rPr>
          <w:rFonts w:ascii="楷体" w:eastAsia="楷体" w:hAnsi="楷体"/>
          <w:sz w:val="24"/>
          <w:szCs w:val="24"/>
        </w:rPr>
        <w:fldChar w:fldCharType="separate"/>
      </w:r>
      <w:r>
        <w:rPr>
          <w:position w:val="-6"/>
        </w:rPr>
        <w:pict>
          <v:shape id="Picture 222" o:spid="_x0000_i1080" type="#_x0000_t75" style="width:28.5pt;height:15.75pt">
            <v:imagedata r:id="rId125" o:title="" chromakey="white"/>
          </v:shape>
        </w:pict>
      </w:r>
      <w:r>
        <w:rPr>
          <w:rFonts w:ascii="楷体" w:eastAsia="楷体" w:hAnsi="楷体"/>
          <w:sz w:val="24"/>
          <w:szCs w:val="24"/>
        </w:rPr>
        <w:fldChar w:fldCharType="end"/>
      </w:r>
      <w:r>
        <w:rPr>
          <w:rFonts w:ascii="楷体" w:eastAsia="楷体" w:hAnsi="楷体" w:hint="eastAsia"/>
          <w:sz w:val="24"/>
          <w:szCs w:val="24"/>
        </w:rPr>
        <w:t>, t=1,2,</w:t>
      </w:r>
      <w:r>
        <w:rPr>
          <w:rFonts w:ascii="楷体" w:eastAsia="楷体" w:hAnsi="楷体"/>
          <w:sz w:val="24"/>
          <w:szCs w:val="24"/>
        </w:rPr>
        <w:fldChar w:fldCharType="begin"/>
      </w:r>
      <w:r>
        <w:rPr>
          <w:rFonts w:ascii="楷体" w:eastAsia="楷体" w:hAnsi="楷体"/>
          <w:sz w:val="24"/>
          <w:szCs w:val="24"/>
        </w:rPr>
        <w:instrText xml:space="preserve"> QUOTE </w:instrText>
      </w:r>
      <w:r>
        <w:rPr>
          <w:position w:val="-6"/>
        </w:rPr>
        <w:pict>
          <v:shape id="Picture 223" o:spid="_x0000_i1081" type="#_x0000_t75" style="width:19.5pt;height:15.75pt">
            <v:imagedata r:id="rId126" o:title="" chromakey="white"/>
          </v:shape>
        </w:pict>
      </w:r>
      <w:r>
        <w:rPr>
          <w:rFonts w:ascii="楷体" w:eastAsia="楷体" w:hAnsi="楷体"/>
          <w:sz w:val="24"/>
          <w:szCs w:val="24"/>
        </w:rPr>
        <w:instrText xml:space="preserve"> </w:instrText>
      </w:r>
      <w:r>
        <w:rPr>
          <w:rFonts w:ascii="楷体" w:eastAsia="楷体" w:hAnsi="楷体"/>
          <w:sz w:val="24"/>
          <w:szCs w:val="24"/>
        </w:rPr>
        <w:fldChar w:fldCharType="separate"/>
      </w:r>
      <w:r>
        <w:rPr>
          <w:position w:val="-6"/>
        </w:rPr>
        <w:pict>
          <v:shape id="Picture 224" o:spid="_x0000_i1082" type="#_x0000_t75" style="width:19.5pt;height:15.75pt">
            <v:imagedata r:id="rId126" o:title="" chromakey="white"/>
          </v:shape>
        </w:pict>
      </w:r>
      <w:r>
        <w:rPr>
          <w:rFonts w:ascii="楷体" w:eastAsia="楷体" w:hAnsi="楷体"/>
          <w:sz w:val="24"/>
          <w:szCs w:val="24"/>
        </w:rPr>
        <w:fldChar w:fldCharType="end"/>
      </w:r>
      <w:r>
        <w:rPr>
          <w:rFonts w:ascii="楷体" w:eastAsia="楷体" w:hAnsi="楷体" w:hint="eastAsia"/>
          <w:sz w:val="24"/>
          <w:szCs w:val="24"/>
        </w:rPr>
        <w:t>。</w:t>
      </w:r>
    </w:p>
    <w:p w:rsidR="004165EC" w:rsidRDefault="00C97C8E">
      <w:pPr>
        <w:spacing w:line="360" w:lineRule="auto"/>
        <w:ind w:firstLineChars="200" w:firstLine="420"/>
        <w:rPr>
          <w:rFonts w:ascii="宋体" w:hAnsi="宋体"/>
          <w:bCs/>
          <w:szCs w:val="21"/>
        </w:rPr>
      </w:pPr>
      <w:r>
        <w:rPr>
          <w:rFonts w:ascii="宋体" w:hAnsi="宋体"/>
          <w:bCs/>
          <w:szCs w:val="21"/>
        </w:rPr>
        <w:pict>
          <v:shape id="Picture 716" o:spid="_x0000_s1431" type="#_x0000_t75" style="position:absolute;left:0;text-align:left;margin-left:81.8pt;margin-top:17.8pt;width:199pt;height:34pt;z-index:33">
            <v:imagedata r:id="rId127" o:title=""/>
          </v:shape>
          <o:OLEObject Type="Embed" ProgID="Equation.DSMT4" ShapeID="Picture 716" DrawAspect="Content" ObjectID="_1480851548" r:id="rId128"/>
        </w:pict>
      </w:r>
      <w:r>
        <w:rPr>
          <w:rFonts w:ascii="宋体" w:hAnsi="宋体" w:hint="eastAsia"/>
          <w:bCs/>
          <w:szCs w:val="21"/>
        </w:rPr>
        <w:t>对于任意的整数n,定义均值序列：</w:t>
      </w:r>
    </w:p>
    <w:p w:rsidR="004165EC" w:rsidRDefault="00C97C8E">
      <w:pPr>
        <w:spacing w:line="360" w:lineRule="auto"/>
        <w:rPr>
          <w:rFonts w:ascii="宋体" w:hAnsi="宋体"/>
          <w:bCs/>
          <w:szCs w:val="21"/>
        </w:rPr>
      </w:pPr>
      <w:r>
        <w:rPr>
          <w:rFonts w:ascii="宋体" w:hAnsi="宋体" w:hint="eastAsia"/>
          <w:bCs/>
          <w:szCs w:val="21"/>
        </w:rPr>
        <w:t xml:space="preserve">    累积离差：</w:t>
      </w:r>
    </w:p>
    <w:p w:rsidR="004165EC" w:rsidRDefault="00C97C8E">
      <w:pPr>
        <w:spacing w:line="360" w:lineRule="auto"/>
        <w:rPr>
          <w:rFonts w:ascii="宋体" w:hAnsi="宋体"/>
          <w:bCs/>
          <w:szCs w:val="21"/>
        </w:rPr>
      </w:pPr>
      <w:r>
        <w:rPr>
          <w:rFonts w:ascii="宋体" w:hAnsi="宋体"/>
          <w:bCs/>
          <w:szCs w:val="21"/>
        </w:rPr>
        <w:pict>
          <v:shape id="Picture 714" o:spid="_x0000_s1430" type="#_x0000_t75" style="position:absolute;left:0;text-align:left;margin-left:81.8pt;margin-top:20.35pt;width:146pt;height:38pt;z-index:31">
            <v:imagedata r:id="rId129" o:title=""/>
          </v:shape>
          <o:OLEObject Type="Embed" ProgID="Equation.DSMT4" ShapeID="Picture 714" DrawAspect="Content" ObjectID="_1480851549" r:id="rId130"/>
        </w:pict>
      </w:r>
      <w:r>
        <w:rPr>
          <w:rFonts w:ascii="宋体" w:hAnsi="宋体"/>
          <w:bCs/>
          <w:szCs w:val="21"/>
        </w:rPr>
        <w:pict>
          <v:shape id="Picture 713" o:spid="_x0000_s1429" type="#_x0000_t75" style="position:absolute;left:0;text-align:left;margin-left:81.8pt;margin-top:1.25pt;width:168pt;height:23pt;z-index:30">
            <v:imagedata r:id="rId131" o:title=""/>
          </v:shape>
          <o:OLEObject Type="Embed" ProgID="Equation.DSMT4" ShapeID="Picture 713" DrawAspect="Content" ObjectID="_1480851550" r:id="rId132"/>
        </w:pict>
      </w:r>
      <w:r>
        <w:rPr>
          <w:rFonts w:ascii="宋体" w:hAnsi="宋体" w:hint="eastAsia"/>
          <w:bCs/>
          <w:szCs w:val="21"/>
        </w:rPr>
        <w:t xml:space="preserve">    极差为：</w:t>
      </w:r>
    </w:p>
    <w:p w:rsidR="004165EC" w:rsidRDefault="00C97C8E">
      <w:pPr>
        <w:spacing w:line="360" w:lineRule="auto"/>
        <w:ind w:firstLine="420"/>
        <w:rPr>
          <w:rFonts w:ascii="宋体" w:hAnsi="宋体"/>
          <w:bCs/>
          <w:szCs w:val="21"/>
        </w:rPr>
      </w:pPr>
      <w:r>
        <w:rPr>
          <w:rFonts w:ascii="宋体" w:hAnsi="宋体" w:hint="eastAsia"/>
          <w:bCs/>
          <w:szCs w:val="21"/>
        </w:rPr>
        <w:t>相应标准差：</w:t>
      </w:r>
    </w:p>
    <w:p w:rsidR="004165EC" w:rsidRDefault="004165EC">
      <w:pPr>
        <w:spacing w:line="360" w:lineRule="auto"/>
        <w:ind w:firstLine="420"/>
        <w:rPr>
          <w:rFonts w:ascii="宋体" w:hAnsi="宋体"/>
          <w:bCs/>
          <w:szCs w:val="21"/>
        </w:rPr>
      </w:pPr>
    </w:p>
    <w:p w:rsidR="004165EC" w:rsidRDefault="00C97C8E">
      <w:pPr>
        <w:spacing w:line="360" w:lineRule="auto"/>
        <w:ind w:firstLineChars="200" w:firstLine="420"/>
        <w:rPr>
          <w:rFonts w:ascii="宋体" w:hAnsi="宋体"/>
          <w:bCs/>
          <w:szCs w:val="21"/>
        </w:rPr>
      </w:pPr>
      <w:r>
        <w:rPr>
          <w:rFonts w:ascii="宋体" w:hAnsi="宋体" w:hint="eastAsia"/>
          <w:bCs/>
          <w:szCs w:val="21"/>
        </w:rPr>
        <w:t>为了比较不同类型的时间序列，Hurst取其比值作为重置标度，有以下关系：</w:t>
      </w:r>
    </w:p>
    <w:p w:rsidR="004165EC" w:rsidRDefault="00C97C8E">
      <w:pPr>
        <w:spacing w:line="360" w:lineRule="auto"/>
        <w:rPr>
          <w:rFonts w:ascii="宋体" w:hAnsi="宋体"/>
          <w:bCs/>
          <w:szCs w:val="21"/>
        </w:rPr>
      </w:pPr>
      <w:r>
        <w:rPr>
          <w:rFonts w:ascii="宋体" w:hAnsi="宋体"/>
          <w:bCs/>
          <w:szCs w:val="21"/>
        </w:rPr>
        <w:pict>
          <v:shape id="Picture 717" o:spid="_x0000_s1428" type="#_x0000_t75" style="position:absolute;left:0;text-align:left;margin-left:120.8pt;margin-top:2.15pt;width:146pt;height:26pt;z-index:34">
            <v:imagedata r:id="rId133" o:title=""/>
          </v:shape>
          <o:OLEObject Type="Embed" ProgID="Equation.DSMT4" ShapeID="Picture 717" DrawAspect="Content" ObjectID="_1480851551" r:id="rId134"/>
        </w:pict>
      </w:r>
    </w:p>
    <w:p w:rsidR="004165EC" w:rsidRDefault="00C97C8E">
      <w:pPr>
        <w:spacing w:line="360" w:lineRule="auto"/>
        <w:ind w:firstLineChars="200" w:firstLine="420"/>
        <w:rPr>
          <w:rFonts w:ascii="宋体" w:hAnsi="宋体"/>
          <w:bCs/>
          <w:szCs w:val="21"/>
        </w:rPr>
      </w:pPr>
      <w:r>
        <w:rPr>
          <w:rFonts w:ascii="宋体" w:hAnsi="宋体" w:hint="eastAsia"/>
          <w:bCs/>
          <w:szCs w:val="21"/>
        </w:rPr>
        <w:t>取对数，即为：</w:t>
      </w:r>
      <w:r>
        <w:rPr>
          <w:rFonts w:ascii="宋体" w:hAnsi="宋体"/>
          <w:bCs/>
          <w:szCs w:val="21"/>
        </w:rPr>
        <w:t xml:space="preserve"> </w:t>
      </w:r>
    </w:p>
    <w:p w:rsidR="004165EC" w:rsidRDefault="00C97C8E">
      <w:pPr>
        <w:spacing w:line="360" w:lineRule="auto"/>
        <w:ind w:firstLineChars="1150" w:firstLine="2415"/>
        <w:rPr>
          <w:rFonts w:ascii="宋体" w:hAnsi="宋体"/>
          <w:bCs/>
          <w:szCs w:val="21"/>
        </w:rPr>
      </w:pPr>
      <w:r>
        <w:rPr>
          <w:position w:val="-20"/>
        </w:rPr>
        <w:object w:dxaOrig="3135" w:dyaOrig="525">
          <v:shape id="Picture 225" o:spid="_x0000_i1083" type="#_x0000_t75" style="width:156.75pt;height:26.25pt" o:ole="">
            <v:imagedata r:id="rId135" o:title=""/>
          </v:shape>
          <o:OLEObject Type="Embed" ProgID="Equation.DSMT4" ShapeID="Picture 225" DrawAspect="Content" ObjectID="_1480851530" r:id="rId136"/>
        </w:object>
      </w:r>
    </w:p>
    <w:p w:rsidR="004165EC" w:rsidRDefault="00C97C8E">
      <w:pPr>
        <w:spacing w:line="360" w:lineRule="auto"/>
        <w:ind w:firstLineChars="200" w:firstLine="420"/>
        <w:rPr>
          <w:rFonts w:ascii="宋体" w:hAnsi="宋体"/>
          <w:bCs/>
          <w:szCs w:val="21"/>
        </w:rPr>
      </w:pPr>
      <w:r>
        <w:rPr>
          <w:rFonts w:ascii="宋体" w:hAnsi="宋体" w:hint="eastAsia"/>
          <w:bCs/>
          <w:szCs w:val="21"/>
        </w:rPr>
        <w:t xml:space="preserve">其中, c为常数, n为时间序列的长度, </w:t>
      </w:r>
      <w:r>
        <w:rPr>
          <w:rFonts w:ascii="宋体" w:hAnsi="宋体"/>
          <w:bCs/>
          <w:szCs w:val="21"/>
        </w:rPr>
        <w:fldChar w:fldCharType="begin"/>
      </w:r>
      <w:r>
        <w:rPr>
          <w:rFonts w:ascii="宋体" w:hAnsi="宋体"/>
          <w:bCs/>
          <w:szCs w:val="21"/>
        </w:rPr>
        <w:instrText xml:space="preserve"> QUOTE </w:instrText>
      </w:r>
      <w:r>
        <w:rPr>
          <w:rFonts w:ascii="宋体" w:hAnsi="宋体"/>
          <w:bCs/>
          <w:szCs w:val="21"/>
        </w:rPr>
        <w:pict>
          <v:shape id="Picture 226" o:spid="_x0000_i1084" type="#_x0000_t75" style="width:36.75pt;height:31.5pt">
            <v:imagedata r:id="rId137" o:title="" chromakey="white"/>
          </v:shape>
        </w:pict>
      </w:r>
      <w:r>
        <w:rPr>
          <w:rFonts w:ascii="宋体" w:hAnsi="宋体"/>
          <w:bCs/>
          <w:szCs w:val="21"/>
        </w:rPr>
        <w:instrText xml:space="preserve"> </w:instrText>
      </w:r>
      <w:r>
        <w:rPr>
          <w:rFonts w:ascii="宋体" w:hAnsi="宋体"/>
          <w:bCs/>
          <w:szCs w:val="21"/>
        </w:rPr>
        <w:fldChar w:fldCharType="separate"/>
      </w:r>
      <w:r>
        <w:rPr>
          <w:rFonts w:ascii="宋体" w:hAnsi="宋体"/>
          <w:bCs/>
          <w:szCs w:val="21"/>
        </w:rPr>
        <w:fldChar w:fldCharType="begin"/>
      </w:r>
      <w:r>
        <w:rPr>
          <w:rFonts w:ascii="宋体" w:hAnsi="宋体"/>
          <w:bCs/>
          <w:szCs w:val="21"/>
        </w:rPr>
        <w:instrText xml:space="preserve"> QUOTE </w:instrText>
      </w:r>
      <w:r>
        <w:rPr>
          <w:position w:val="-23"/>
        </w:rPr>
        <w:pict>
          <v:shape id="Picture 227" o:spid="_x0000_i1085" type="#_x0000_t75" style="width:36.75pt;height:31.5pt">
            <v:imagedata r:id="rId137" o:title="" chromakey="white"/>
          </v:shape>
        </w:pict>
      </w:r>
      <w:r>
        <w:rPr>
          <w:rFonts w:ascii="宋体" w:hAnsi="宋体"/>
          <w:bCs/>
          <w:szCs w:val="21"/>
        </w:rPr>
        <w:instrText xml:space="preserve"> </w:instrText>
      </w:r>
      <w:r>
        <w:rPr>
          <w:rFonts w:ascii="宋体" w:hAnsi="宋体"/>
          <w:bCs/>
          <w:szCs w:val="21"/>
        </w:rPr>
        <w:fldChar w:fldCharType="separate"/>
      </w:r>
      <w:r>
        <w:rPr>
          <w:rFonts w:ascii="宋体" w:hAnsi="宋体"/>
          <w:bCs/>
          <w:szCs w:val="21"/>
        </w:rPr>
        <w:fldChar w:fldCharType="begin"/>
      </w:r>
      <w:r>
        <w:rPr>
          <w:rFonts w:ascii="宋体" w:hAnsi="宋体"/>
          <w:bCs/>
          <w:szCs w:val="21"/>
        </w:rPr>
        <w:instrText xml:space="preserve"> QUOTE </w:instrText>
      </w:r>
      <w:r>
        <w:rPr>
          <w:position w:val="-23"/>
        </w:rPr>
        <w:pict>
          <v:shape id="Picture 228" o:spid="_x0000_i1086" type="#_x0000_t75" style="width:36.75pt;height:31.5pt">
            <v:imagedata r:id="rId137" o:title="" chromakey="white"/>
          </v:shape>
        </w:pict>
      </w:r>
      <w:r>
        <w:rPr>
          <w:rFonts w:ascii="宋体" w:hAnsi="宋体"/>
          <w:bCs/>
          <w:szCs w:val="21"/>
        </w:rPr>
        <w:instrText xml:space="preserve"> </w:instrText>
      </w:r>
      <w:r>
        <w:rPr>
          <w:rFonts w:ascii="宋体" w:hAnsi="宋体"/>
          <w:bCs/>
          <w:szCs w:val="21"/>
        </w:rPr>
        <w:fldChar w:fldCharType="separate"/>
      </w:r>
      <w:r>
        <w:rPr>
          <w:position w:val="-23"/>
        </w:rPr>
        <w:pict>
          <v:shape id="Picture 229" o:spid="_x0000_i1087" type="#_x0000_t75" style="width:36.75pt;height:31.5pt">
            <v:imagedata r:id="rId137" o:title="" chromakey="white"/>
          </v:shape>
        </w:pict>
      </w:r>
      <w:r>
        <w:rPr>
          <w:rFonts w:ascii="宋体" w:hAnsi="宋体"/>
          <w:bCs/>
          <w:szCs w:val="21"/>
        </w:rPr>
        <w:fldChar w:fldCharType="end"/>
      </w:r>
      <w:r>
        <w:rPr>
          <w:rFonts w:ascii="宋体" w:hAnsi="宋体"/>
          <w:bCs/>
          <w:szCs w:val="21"/>
        </w:rPr>
        <w:fldChar w:fldCharType="end"/>
      </w:r>
      <w:r>
        <w:rPr>
          <w:rFonts w:ascii="宋体" w:hAnsi="宋体"/>
          <w:bCs/>
          <w:szCs w:val="21"/>
        </w:rPr>
        <w:fldChar w:fldCharType="end"/>
      </w:r>
      <w:r>
        <w:rPr>
          <w:rFonts w:ascii="宋体" w:hAnsi="宋体" w:hint="eastAsia"/>
          <w:bCs/>
          <w:szCs w:val="21"/>
        </w:rPr>
        <w:t>中n为对应长度为n的时间序列的R /S值,H称为Hurst指数。</w:t>
      </w:r>
    </w:p>
    <w:p w:rsidR="004165EC" w:rsidRDefault="00C97C8E">
      <w:pPr>
        <w:spacing w:line="360" w:lineRule="auto"/>
        <w:ind w:firstLineChars="200" w:firstLine="420"/>
        <w:rPr>
          <w:rFonts w:ascii="宋体" w:hAnsi="宋体"/>
          <w:bCs/>
          <w:szCs w:val="21"/>
        </w:rPr>
      </w:pPr>
      <w:r>
        <w:rPr>
          <w:rFonts w:ascii="宋体" w:hAnsi="宋体" w:hint="eastAsia"/>
          <w:bCs/>
          <w:szCs w:val="21"/>
        </w:rPr>
        <w:t>H的取值范围是[0,1],对于标准的布朗运动其Hurst指数为0.5，以此分界：</w:t>
      </w:r>
    </w:p>
    <w:p w:rsidR="004165EC" w:rsidRDefault="00C97C8E">
      <w:pPr>
        <w:numPr>
          <w:ilvl w:val="0"/>
          <w:numId w:val="7"/>
        </w:numPr>
        <w:spacing w:line="360" w:lineRule="auto"/>
        <w:rPr>
          <w:rFonts w:ascii="宋体" w:hAnsi="宋体"/>
          <w:bCs/>
          <w:szCs w:val="21"/>
        </w:rPr>
      </w:pPr>
      <w:r>
        <w:rPr>
          <w:rFonts w:ascii="宋体" w:hAnsi="宋体" w:hint="eastAsia"/>
          <w:bCs/>
          <w:szCs w:val="21"/>
        </w:rPr>
        <w:t>H =0.5时,说明时间序列是随机游动的，标准布朗运动，马氏链特性。对于金融市场而言,信息被立即反映到价格中,昨天的事件不影响今天,今天的事件不影响明天,事件互不相关,旧新闻已经被市场吸收和计算进去了,肯定有效市场理论。</w:t>
      </w:r>
    </w:p>
    <w:p w:rsidR="004165EC" w:rsidRDefault="00C97C8E">
      <w:pPr>
        <w:numPr>
          <w:ilvl w:val="0"/>
          <w:numId w:val="7"/>
        </w:numPr>
        <w:spacing w:line="360" w:lineRule="auto"/>
        <w:rPr>
          <w:rFonts w:ascii="宋体" w:hAnsi="宋体"/>
          <w:bCs/>
          <w:szCs w:val="21"/>
        </w:rPr>
      </w:pPr>
      <w:r>
        <w:rPr>
          <w:rFonts w:ascii="宋体" w:hAnsi="宋体" w:hint="eastAsia"/>
          <w:bCs/>
          <w:szCs w:val="21"/>
        </w:rPr>
        <w:t>当H=1时，表示完全预测，时间序列为一条直线，未来完全可以用现在预测。</w:t>
      </w:r>
    </w:p>
    <w:p w:rsidR="004165EC" w:rsidRDefault="00C97C8E">
      <w:pPr>
        <w:numPr>
          <w:ilvl w:val="0"/>
          <w:numId w:val="7"/>
        </w:numPr>
        <w:spacing w:line="360" w:lineRule="auto"/>
        <w:rPr>
          <w:rFonts w:ascii="宋体" w:hAnsi="宋体"/>
          <w:bCs/>
          <w:szCs w:val="21"/>
        </w:rPr>
      </w:pPr>
      <w:r>
        <w:rPr>
          <w:rFonts w:ascii="宋体" w:hAnsi="宋体" w:hint="eastAsia"/>
          <w:bCs/>
          <w:szCs w:val="21"/>
        </w:rPr>
        <w:t>当0.5&lt;H&lt;1时,持久性分形布朗运动，隐含今天的事件确实影响明天,今天接受到的信息在其被接收到之后继续被市场计算进去,信息可以在很长一段时间内影响未来,并且穿越时间标度。如果H值越大,则说明时间序列的趋势更明显,期货价格增量之间的相关性越强。</w:t>
      </w:r>
    </w:p>
    <w:p w:rsidR="004165EC" w:rsidRDefault="00C97C8E">
      <w:pPr>
        <w:numPr>
          <w:ilvl w:val="0"/>
          <w:numId w:val="7"/>
        </w:numPr>
        <w:spacing w:line="360" w:lineRule="auto"/>
        <w:rPr>
          <w:rFonts w:ascii="宋体" w:hAnsi="宋体"/>
          <w:bCs/>
          <w:szCs w:val="21"/>
        </w:rPr>
      </w:pPr>
      <w:r>
        <w:rPr>
          <w:rFonts w:ascii="宋体" w:hAnsi="宋体" w:hint="eastAsia"/>
          <w:bCs/>
          <w:szCs w:val="21"/>
        </w:rPr>
        <w:t xml:space="preserve">当0≤H </w:t>
      </w:r>
      <w:r>
        <w:rPr>
          <w:rFonts w:ascii="宋体" w:hAnsi="宋体"/>
          <w:bCs/>
          <w:szCs w:val="21"/>
        </w:rPr>
        <w:t>&lt;</w:t>
      </w:r>
      <w:r>
        <w:rPr>
          <w:rFonts w:ascii="宋体" w:hAnsi="宋体" w:hint="eastAsia"/>
          <w:bCs/>
          <w:szCs w:val="21"/>
        </w:rPr>
        <w:t>0.5时, 反持久性分形布朗运动。此时，时间序列的未来数据倾向于返回历史点，即均值回复特性。</w:t>
      </w:r>
    </w:p>
    <w:p w:rsidR="004165EC" w:rsidRDefault="00C97C8E">
      <w:pPr>
        <w:spacing w:line="360" w:lineRule="auto"/>
        <w:rPr>
          <w:rFonts w:ascii="宋体" w:hAnsi="宋体"/>
          <w:bCs/>
          <w:szCs w:val="21"/>
        </w:rPr>
      </w:pPr>
      <w:r>
        <w:rPr>
          <w:rFonts w:ascii="宋体" w:hAnsi="宋体" w:hint="eastAsia"/>
          <w:b/>
          <w:bCs/>
          <w:szCs w:val="21"/>
        </w:rPr>
        <w:t>5.2实证分析</w:t>
      </w:r>
    </w:p>
    <w:p w:rsidR="004165EC" w:rsidRDefault="00C97C8E">
      <w:pPr>
        <w:spacing w:line="360" w:lineRule="auto"/>
        <w:rPr>
          <w:rFonts w:ascii="宋体" w:hAnsi="宋体"/>
          <w:b/>
          <w:bCs/>
          <w:szCs w:val="21"/>
        </w:rPr>
      </w:pPr>
      <w:r>
        <w:rPr>
          <w:rFonts w:ascii="宋体" w:hAnsi="宋体" w:hint="eastAsia"/>
          <w:b/>
          <w:bCs/>
          <w:szCs w:val="21"/>
        </w:rPr>
        <w:t>5.2.1数据处理及程序实现</w:t>
      </w:r>
    </w:p>
    <w:p w:rsidR="004165EC" w:rsidRDefault="00C97C8E">
      <w:pPr>
        <w:spacing w:line="360" w:lineRule="auto"/>
        <w:ind w:firstLineChars="200" w:firstLine="420"/>
        <w:rPr>
          <w:rFonts w:ascii="宋体" w:hAnsi="宋体"/>
          <w:bCs/>
          <w:szCs w:val="21"/>
        </w:rPr>
      </w:pPr>
      <w:r>
        <w:rPr>
          <w:rFonts w:ascii="宋体" w:hAnsi="宋体" w:hint="eastAsia"/>
          <w:bCs/>
          <w:szCs w:val="21"/>
        </w:rPr>
        <w:t>选取沪铜与豆</w:t>
      </w:r>
      <w:proofErr w:type="gramStart"/>
      <w:r>
        <w:rPr>
          <w:rFonts w:ascii="宋体" w:hAnsi="宋体" w:hint="eastAsia"/>
          <w:bCs/>
          <w:szCs w:val="21"/>
        </w:rPr>
        <w:t>粕</w:t>
      </w:r>
      <w:proofErr w:type="gramEnd"/>
      <w:r>
        <w:rPr>
          <w:rFonts w:ascii="宋体" w:hAnsi="宋体" w:hint="eastAsia"/>
          <w:bCs/>
          <w:szCs w:val="21"/>
        </w:rPr>
        <w:t>1月份到期期货合约的铜期货和豆</w:t>
      </w:r>
      <w:proofErr w:type="gramStart"/>
      <w:r>
        <w:rPr>
          <w:rFonts w:ascii="宋体" w:hAnsi="宋体" w:hint="eastAsia"/>
          <w:bCs/>
          <w:szCs w:val="21"/>
        </w:rPr>
        <w:t>粕</w:t>
      </w:r>
      <w:proofErr w:type="gramEnd"/>
      <w:r>
        <w:rPr>
          <w:rFonts w:ascii="宋体" w:hAnsi="宋体" w:hint="eastAsia"/>
          <w:bCs/>
          <w:szCs w:val="21"/>
        </w:rPr>
        <w:t>期货的当日收盘价作为样本数据，</w:t>
      </w:r>
      <w:r>
        <w:rPr>
          <w:rFonts w:ascii="宋体" w:hAnsi="宋体" w:hint="eastAsia"/>
          <w:bCs/>
          <w:szCs w:val="21"/>
        </w:rPr>
        <w:lastRenderedPageBreak/>
        <w:t>时间区间为2004年1月2日到2014年11月28日。数据来源：万德数据库。</w:t>
      </w:r>
    </w:p>
    <w:p w:rsidR="004165EC" w:rsidRDefault="00C97C8E">
      <w:pPr>
        <w:spacing w:line="360" w:lineRule="auto"/>
        <w:ind w:firstLineChars="200" w:firstLine="420"/>
        <w:rPr>
          <w:rFonts w:ascii="宋体" w:hAnsi="宋体"/>
          <w:bCs/>
          <w:szCs w:val="21"/>
        </w:rPr>
      </w:pPr>
      <w:r>
        <w:rPr>
          <w:rFonts w:ascii="宋体" w:hAnsi="宋体" w:hint="eastAsia"/>
          <w:bCs/>
          <w:szCs w:val="21"/>
        </w:rPr>
        <w:t>按照如下定义，定义价格百分比和对数收益率：</w:t>
      </w:r>
    </w:p>
    <w:p w:rsidR="004165EC" w:rsidRDefault="00C97C8E">
      <w:pPr>
        <w:spacing w:line="360" w:lineRule="auto"/>
        <w:ind w:firstLineChars="200" w:firstLine="420"/>
        <w:rPr>
          <w:rFonts w:ascii="楷体" w:eastAsia="楷体" w:hAnsi="楷体"/>
          <w:sz w:val="24"/>
          <w:szCs w:val="24"/>
        </w:rPr>
      </w:pPr>
      <w:r>
        <w:fldChar w:fldCharType="begin"/>
      </w:r>
      <w:r>
        <w:instrText xml:space="preserve"> QUOTE </w:instrText>
      </w:r>
      <w:r>
        <w:rPr>
          <w:position w:val="-41"/>
        </w:rPr>
        <w:pict>
          <v:shape id="Picture 230" o:spid="_x0000_i1088" type="#_x0000_t75" style="width:168pt;height:46.5pt">
            <v:imagedata r:id="rId138" o:title="" chromakey="white"/>
          </v:shape>
        </w:pict>
      </w:r>
      <w:r>
        <w:instrText xml:space="preserve"> </w:instrText>
      </w:r>
      <w:r>
        <w:fldChar w:fldCharType="separate"/>
      </w:r>
      <w:r>
        <w:rPr>
          <w:position w:val="-41"/>
        </w:rPr>
        <w:pict>
          <v:shape id="Picture 233" o:spid="_x0000_i1089" type="#_x0000_t75" style="width:168pt;height:46.5pt">
            <v:imagedata r:id="rId138" o:title="" chromakey="white"/>
          </v:shape>
        </w:pict>
      </w:r>
      <w:r>
        <w:fldChar w:fldCharType="end"/>
      </w:r>
      <w:r>
        <w:rPr>
          <w:rFonts w:hint="eastAsia"/>
        </w:rPr>
        <w:t>=</w:t>
      </w:r>
      <w:r>
        <w:rPr>
          <w:rFonts w:ascii="楷体" w:eastAsia="楷体" w:hAnsi="楷体"/>
          <w:sz w:val="24"/>
          <w:szCs w:val="24"/>
        </w:rPr>
        <w:fldChar w:fldCharType="begin"/>
      </w:r>
      <w:r>
        <w:rPr>
          <w:rFonts w:ascii="楷体" w:eastAsia="楷体" w:hAnsi="楷体"/>
          <w:sz w:val="24"/>
          <w:szCs w:val="24"/>
        </w:rPr>
        <w:instrText xml:space="preserve"> QUOTE </w:instrText>
      </w:r>
      <w:r>
        <w:rPr>
          <w:position w:val="-26"/>
        </w:rPr>
        <w:pict>
          <v:shape id="Picture 231" o:spid="_x0000_i1090" type="#_x0000_t75" style="width:42.75pt;height:31.5pt">
            <v:imagedata r:id="rId139" o:title="" chromakey="white"/>
          </v:shape>
        </w:pict>
      </w:r>
      <w:r>
        <w:rPr>
          <w:rFonts w:ascii="楷体" w:eastAsia="楷体" w:hAnsi="楷体"/>
          <w:sz w:val="24"/>
          <w:szCs w:val="24"/>
        </w:rPr>
        <w:instrText xml:space="preserve"> </w:instrText>
      </w:r>
      <w:r>
        <w:rPr>
          <w:rFonts w:ascii="楷体" w:eastAsia="楷体" w:hAnsi="楷体"/>
          <w:sz w:val="24"/>
          <w:szCs w:val="24"/>
        </w:rPr>
        <w:fldChar w:fldCharType="separate"/>
      </w:r>
      <w:r>
        <w:rPr>
          <w:position w:val="-26"/>
        </w:rPr>
        <w:pict>
          <v:shape id="Picture 232" o:spid="_x0000_i1091" type="#_x0000_t75" style="width:42.75pt;height:31.5pt">
            <v:imagedata r:id="rId139" o:title="" chromakey="white"/>
          </v:shape>
        </w:pict>
      </w:r>
      <w:r>
        <w:rPr>
          <w:rFonts w:ascii="楷体" w:eastAsia="楷体" w:hAnsi="楷体"/>
          <w:sz w:val="24"/>
          <w:szCs w:val="24"/>
        </w:rPr>
        <w:fldChar w:fldCharType="end"/>
      </w:r>
    </w:p>
    <w:p w:rsidR="004165EC" w:rsidRDefault="00C97C8E">
      <w:pPr>
        <w:spacing w:line="360" w:lineRule="auto"/>
        <w:ind w:firstLineChars="200" w:firstLine="420"/>
        <w:rPr>
          <w:rFonts w:ascii="宋体" w:hAnsi="宋体"/>
          <w:bCs/>
          <w:szCs w:val="21"/>
        </w:rPr>
      </w:pPr>
      <w:r>
        <w:rPr>
          <w:rFonts w:ascii="宋体" w:hAnsi="宋体" w:hint="eastAsia"/>
          <w:bCs/>
          <w:szCs w:val="21"/>
        </w:rPr>
        <w:t>其中，</w:t>
      </w:r>
      <w:r>
        <w:rPr>
          <w:rFonts w:ascii="宋体" w:hAnsi="宋体"/>
          <w:bCs/>
          <w:szCs w:val="21"/>
        </w:rPr>
        <w:fldChar w:fldCharType="begin"/>
      </w:r>
      <w:r>
        <w:rPr>
          <w:rFonts w:ascii="宋体" w:hAnsi="宋体"/>
          <w:bCs/>
          <w:szCs w:val="21"/>
        </w:rPr>
        <w:instrText xml:space="preserve"> QUOTE </w:instrText>
      </w:r>
      <w:r>
        <w:rPr>
          <w:rFonts w:ascii="宋体" w:hAnsi="宋体"/>
          <w:bCs/>
          <w:szCs w:val="21"/>
        </w:rPr>
        <w:pict>
          <v:shape id="Picture 213" o:spid="_x0000_i1092" type="#_x0000_t75" style="width:9.75pt;height:15.75pt">
            <v:imagedata r:id="rId140" o:title="" chromakey="white"/>
          </v:shape>
        </w:pict>
      </w:r>
      <w:r>
        <w:rPr>
          <w:rFonts w:ascii="宋体" w:hAnsi="宋体"/>
          <w:bCs/>
          <w:szCs w:val="21"/>
        </w:rPr>
        <w:instrText xml:space="preserve"> </w:instrText>
      </w:r>
      <w:r>
        <w:rPr>
          <w:rFonts w:ascii="宋体" w:hAnsi="宋体"/>
          <w:bCs/>
          <w:szCs w:val="21"/>
        </w:rPr>
        <w:fldChar w:fldCharType="separate"/>
      </w:r>
      <w:r>
        <w:rPr>
          <w:rFonts w:ascii="宋体" w:hAnsi="宋体"/>
          <w:bCs/>
          <w:szCs w:val="21"/>
        </w:rPr>
        <w:pict>
          <v:shape id="Picture 214" o:spid="_x0000_i1093" type="#_x0000_t75" style="width:9.75pt;height:15.75pt">
            <v:imagedata r:id="rId140" o:title="" chromakey="white"/>
          </v:shape>
        </w:pict>
      </w:r>
      <w:r>
        <w:rPr>
          <w:rFonts w:ascii="宋体" w:hAnsi="宋体"/>
          <w:bCs/>
          <w:szCs w:val="21"/>
        </w:rPr>
        <w:fldChar w:fldCharType="end"/>
      </w:r>
      <w:r>
        <w:rPr>
          <w:rFonts w:ascii="宋体" w:hAnsi="宋体" w:hint="eastAsia"/>
          <w:bCs/>
          <w:szCs w:val="21"/>
        </w:rPr>
        <w:t xml:space="preserve"> 为t时的对数收益率, </w:t>
      </w:r>
      <w:r>
        <w:rPr>
          <w:rFonts w:ascii="宋体" w:hAnsi="宋体"/>
          <w:bCs/>
          <w:szCs w:val="21"/>
        </w:rPr>
        <w:fldChar w:fldCharType="begin"/>
      </w:r>
      <w:r>
        <w:rPr>
          <w:rFonts w:ascii="宋体" w:hAnsi="宋体"/>
          <w:bCs/>
          <w:szCs w:val="21"/>
        </w:rPr>
        <w:instrText xml:space="preserve"> QUOTE </w:instrText>
      </w:r>
      <w:r>
        <w:rPr>
          <w:rFonts w:ascii="宋体" w:hAnsi="宋体"/>
          <w:bCs/>
          <w:szCs w:val="21"/>
        </w:rPr>
        <w:pict>
          <v:shape id="Picture 215" o:spid="_x0000_i1094" type="#_x0000_t75" style="width:9pt;height:15.75pt">
            <v:imagedata r:id="rId141" o:title="" chromakey="white"/>
          </v:shape>
        </w:pict>
      </w:r>
      <w:r>
        <w:rPr>
          <w:rFonts w:ascii="宋体" w:hAnsi="宋体"/>
          <w:bCs/>
          <w:szCs w:val="21"/>
        </w:rPr>
        <w:instrText xml:space="preserve"> </w:instrText>
      </w:r>
      <w:r>
        <w:rPr>
          <w:rFonts w:ascii="宋体" w:hAnsi="宋体"/>
          <w:bCs/>
          <w:szCs w:val="21"/>
        </w:rPr>
        <w:fldChar w:fldCharType="separate"/>
      </w:r>
      <w:r>
        <w:rPr>
          <w:rFonts w:ascii="宋体" w:hAnsi="宋体"/>
          <w:bCs/>
          <w:szCs w:val="21"/>
        </w:rPr>
        <w:pict>
          <v:shape id="Picture 234" o:spid="_x0000_i1095" type="#_x0000_t75" style="width:9pt;height:15.75pt">
            <v:imagedata r:id="rId141" o:title="" chromakey="white"/>
          </v:shape>
        </w:pict>
      </w:r>
      <w:r>
        <w:rPr>
          <w:rFonts w:ascii="宋体" w:hAnsi="宋体"/>
          <w:bCs/>
          <w:szCs w:val="21"/>
        </w:rPr>
        <w:fldChar w:fldCharType="end"/>
      </w:r>
      <w:r>
        <w:rPr>
          <w:rFonts w:ascii="宋体" w:hAnsi="宋体" w:hint="eastAsia"/>
          <w:bCs/>
          <w:szCs w:val="21"/>
        </w:rPr>
        <w:t>为t时的价格,数据量为2619个,用对数收益率和价格百分比做出的R/S分析结果及其相近。（这里，我们用对数收益率）</w:t>
      </w:r>
    </w:p>
    <w:p w:rsidR="004165EC" w:rsidRDefault="00C97C8E">
      <w:pPr>
        <w:spacing w:line="360" w:lineRule="auto"/>
        <w:ind w:firstLineChars="200" w:firstLine="420"/>
        <w:jc w:val="left"/>
        <w:rPr>
          <w:rFonts w:ascii="宋体" w:hAnsi="宋体"/>
          <w:bCs/>
          <w:szCs w:val="21"/>
        </w:rPr>
      </w:pPr>
      <w:r>
        <w:rPr>
          <w:rFonts w:ascii="宋体" w:hAnsi="宋体" w:hint="eastAsia"/>
          <w:bCs/>
          <w:szCs w:val="21"/>
        </w:rPr>
        <w:t xml:space="preserve">沪铜1月份期货的每日收盘价波动及对数收益率波动如下图所示：    </w:t>
      </w:r>
      <w:r>
        <w:rPr>
          <w:rFonts w:ascii="宋体" w:hAnsi="宋体"/>
          <w:bCs/>
          <w:szCs w:val="21"/>
        </w:rPr>
        <w:pict>
          <v:shape id="Picture 220" o:spid="_x0000_i1096" type="#_x0000_t75" style="width:211.5pt;height:139.5pt">
            <v:imagedata r:id="rId142" o:title=""/>
          </v:shape>
        </w:pict>
      </w:r>
      <w:r>
        <w:rPr>
          <w:rFonts w:ascii="宋体" w:hAnsi="宋体"/>
          <w:bCs/>
          <w:szCs w:val="21"/>
        </w:rPr>
        <w:pict>
          <v:shape id="Picture 219" o:spid="_x0000_i1097" type="#_x0000_t75" style="width:198.75pt;height:149.25pt">
            <v:imagedata r:id="rId143" o:title=""/>
          </v:shape>
        </w:pict>
      </w:r>
    </w:p>
    <w:p w:rsidR="004165EC" w:rsidRDefault="00C97C8E">
      <w:pPr>
        <w:spacing w:line="360" w:lineRule="auto"/>
        <w:ind w:firstLineChars="200" w:firstLine="420"/>
        <w:rPr>
          <w:rFonts w:ascii="宋体" w:hAnsi="宋体"/>
          <w:bCs/>
          <w:szCs w:val="21"/>
        </w:rPr>
      </w:pPr>
      <w:r>
        <w:rPr>
          <w:rFonts w:ascii="宋体" w:hAnsi="宋体" w:hint="eastAsia"/>
          <w:bCs/>
          <w:szCs w:val="21"/>
        </w:rPr>
        <w:t>用matlab相关函数编程实现了整个计算过程。</w:t>
      </w:r>
    </w:p>
    <w:p w:rsidR="004165EC" w:rsidRDefault="00C97C8E">
      <w:pPr>
        <w:spacing w:line="360" w:lineRule="auto"/>
        <w:ind w:firstLineChars="200" w:firstLine="420"/>
        <w:rPr>
          <w:rFonts w:ascii="宋体" w:hAnsi="宋体"/>
          <w:bCs/>
          <w:szCs w:val="21"/>
        </w:rPr>
      </w:pPr>
      <w:r>
        <w:rPr>
          <w:rFonts w:ascii="宋体" w:hAnsi="宋体" w:hint="eastAsia"/>
          <w:bCs/>
          <w:szCs w:val="21"/>
        </w:rPr>
        <w:t>首先均分这个时间长度为T(T =M -1)的时间序列为A</w:t>
      </w:r>
      <w:proofErr w:type="gramStart"/>
      <w:r>
        <w:rPr>
          <w:rFonts w:ascii="宋体" w:hAnsi="宋体" w:hint="eastAsia"/>
          <w:bCs/>
          <w:szCs w:val="21"/>
        </w:rPr>
        <w:t>个</w:t>
      </w:r>
      <w:proofErr w:type="gramEnd"/>
      <w:r>
        <w:rPr>
          <w:rFonts w:ascii="宋体" w:hAnsi="宋体" w:hint="eastAsia"/>
          <w:bCs/>
          <w:szCs w:val="21"/>
        </w:rPr>
        <w:t>相邻的子区间,使A·n =N,这样每组都有n</w:t>
      </w:r>
      <w:proofErr w:type="gramStart"/>
      <w:r>
        <w:rPr>
          <w:rFonts w:ascii="宋体" w:hAnsi="宋体" w:hint="eastAsia"/>
          <w:bCs/>
          <w:szCs w:val="21"/>
        </w:rPr>
        <w:t>个</w:t>
      </w:r>
      <w:proofErr w:type="gramEnd"/>
      <w:r>
        <w:rPr>
          <w:rFonts w:ascii="宋体" w:hAnsi="宋体" w:hint="eastAsia"/>
          <w:bCs/>
          <w:szCs w:val="21"/>
        </w:rPr>
        <w:t>观察值。根据彼得斯的经验法则,从n&gt;10开始计算。然后对每个子样本计算其重标极差R和标准差S,可以得到A</w:t>
      </w:r>
      <w:proofErr w:type="gramStart"/>
      <w:r>
        <w:rPr>
          <w:rFonts w:ascii="宋体" w:hAnsi="宋体" w:hint="eastAsia"/>
          <w:bCs/>
          <w:szCs w:val="21"/>
        </w:rPr>
        <w:t>个</w:t>
      </w:r>
      <w:proofErr w:type="gramEnd"/>
      <w:r>
        <w:rPr>
          <w:rFonts w:ascii="宋体" w:hAnsi="宋体" w:hint="eastAsia"/>
          <w:bCs/>
          <w:szCs w:val="21"/>
        </w:rPr>
        <w:t>R /S值,再求出平均值,计为</w:t>
      </w:r>
      <w:r>
        <w:rPr>
          <w:rFonts w:ascii="宋体" w:hAnsi="宋体"/>
          <w:bCs/>
          <w:szCs w:val="21"/>
        </w:rPr>
        <w:fldChar w:fldCharType="begin"/>
      </w:r>
      <w:r>
        <w:rPr>
          <w:rFonts w:ascii="宋体" w:hAnsi="宋体"/>
          <w:bCs/>
          <w:szCs w:val="21"/>
        </w:rPr>
        <w:instrText xml:space="preserve"> QUOTE </w:instrText>
      </w:r>
      <w:r>
        <w:rPr>
          <w:position w:val="-23"/>
        </w:rPr>
        <w:pict>
          <v:shape id="Picture 235" o:spid="_x0000_i1098" type="#_x0000_t75" style="width:36.75pt;height:31.5pt">
            <v:imagedata r:id="rId137" o:title="" chromakey="white"/>
          </v:shape>
        </w:pict>
      </w:r>
      <w:r>
        <w:rPr>
          <w:rFonts w:ascii="宋体" w:hAnsi="宋体"/>
          <w:bCs/>
          <w:szCs w:val="21"/>
        </w:rPr>
        <w:instrText xml:space="preserve"> </w:instrText>
      </w:r>
      <w:r>
        <w:rPr>
          <w:rFonts w:ascii="宋体" w:hAnsi="宋体"/>
          <w:bCs/>
          <w:szCs w:val="21"/>
        </w:rPr>
        <w:fldChar w:fldCharType="separate"/>
      </w:r>
      <w:r>
        <w:rPr>
          <w:position w:val="-23"/>
        </w:rPr>
        <w:pict>
          <v:shape id="Picture 236" o:spid="_x0000_i1099" type="#_x0000_t75" style="width:36.75pt;height:31.5pt">
            <v:imagedata r:id="rId137" o:title="" chromakey="white"/>
          </v:shape>
        </w:pic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QUOTE </w:instrText>
      </w:r>
      <w:r>
        <w:rPr>
          <w:rFonts w:ascii="宋体" w:hAnsi="宋体"/>
          <w:bCs/>
          <w:szCs w:val="21"/>
        </w:rPr>
        <w:pict>
          <v:shape id="Picture 216" o:spid="_x0000_i1100" type="#_x0000_t75" style="width:36.75pt;height:31.5pt">
            <v:imagedata r:id="rId137" o:title="" chromakey="white"/>
          </v:shape>
        </w:pict>
      </w:r>
      <w:r>
        <w:rPr>
          <w:rFonts w:ascii="宋体" w:hAnsi="宋体"/>
          <w:bCs/>
          <w:szCs w:val="21"/>
        </w:rPr>
        <w:instrText xml:space="preserve"> </w:instrText>
      </w:r>
      <w:r>
        <w:rPr>
          <w:rFonts w:ascii="宋体" w:hAnsi="宋体"/>
          <w:bCs/>
          <w:szCs w:val="21"/>
        </w:rPr>
        <w:fldChar w:fldCharType="end"/>
      </w:r>
      <w:r>
        <w:rPr>
          <w:rFonts w:ascii="宋体" w:hAnsi="宋体" w:hint="eastAsia"/>
          <w:bCs/>
          <w:szCs w:val="21"/>
        </w:rPr>
        <w:t>。接下来,取n +1,n+2,,,循环计算,直到n = (M -1) /2。这样,对于沪铜1月份期货的日数据处理共得到1309组n和(R /S)n值,运用最小二乘法再对上式进行回归,得到的斜率是Hurst指数的估计值,如下图所示：</w:t>
      </w:r>
    </w:p>
    <w:p w:rsidR="004165EC" w:rsidRDefault="004165EC">
      <w:pPr>
        <w:spacing w:line="360" w:lineRule="auto"/>
        <w:rPr>
          <w:rFonts w:ascii="宋体" w:hAnsi="宋体"/>
          <w:bCs/>
          <w:szCs w:val="21"/>
        </w:rPr>
      </w:pPr>
    </w:p>
    <w:p w:rsidR="004165EC" w:rsidRDefault="00C97C8E">
      <w:pPr>
        <w:spacing w:line="360" w:lineRule="auto"/>
        <w:rPr>
          <w:rFonts w:ascii="宋体" w:hAnsi="宋体"/>
          <w:bCs/>
          <w:szCs w:val="21"/>
        </w:rPr>
      </w:pPr>
      <w:r>
        <w:rPr>
          <w:rFonts w:ascii="宋体" w:hAnsi="宋体"/>
          <w:bCs/>
          <w:szCs w:val="21"/>
        </w:rPr>
        <w:lastRenderedPageBreak/>
        <w:pict>
          <v:shape id="图片 252" o:spid="_x0000_i1101" type="#_x0000_t75" style="width:270pt;height:202.5pt">
            <v:imagedata r:id="rId144" o:title="QQ图片20141130203121"/>
          </v:shape>
        </w:pict>
      </w:r>
    </w:p>
    <w:p w:rsidR="004165EC" w:rsidRDefault="00C97C8E">
      <w:pPr>
        <w:spacing w:line="360" w:lineRule="auto"/>
        <w:ind w:firstLineChars="200" w:firstLine="420"/>
        <w:rPr>
          <w:rFonts w:ascii="宋体" w:hAnsi="宋体"/>
          <w:bCs/>
          <w:szCs w:val="21"/>
        </w:rPr>
      </w:pPr>
      <w:r>
        <w:rPr>
          <w:rFonts w:ascii="宋体" w:hAnsi="宋体" w:hint="eastAsia"/>
          <w:bCs/>
          <w:szCs w:val="21"/>
        </w:rPr>
        <w:t>计算得到H =0.6410,大于0.50,说明沪铜1月份期货价格时间序列不是随机游动, 价格波动并不遵循有效市场理论,期货价格时间序列的观测值之间不是相互独立的,期货价格时间序列具有持久性趋势。沪铜期货价格具有记忆性,今天发生的事件将对以后的期货价格产生影响。</w:t>
      </w:r>
    </w:p>
    <w:p w:rsidR="004165EC" w:rsidRDefault="00C97C8E">
      <w:pPr>
        <w:spacing w:line="360" w:lineRule="auto"/>
        <w:ind w:firstLineChars="200" w:firstLine="420"/>
        <w:rPr>
          <w:rFonts w:ascii="宋体" w:hAnsi="宋体"/>
          <w:bCs/>
          <w:szCs w:val="21"/>
        </w:rPr>
      </w:pPr>
      <w:r>
        <w:rPr>
          <w:rFonts w:ascii="宋体" w:hAnsi="宋体" w:hint="eastAsia"/>
          <w:bCs/>
          <w:szCs w:val="21"/>
        </w:rPr>
        <w:t>独立的随机过程系统,统计量</w:t>
      </w:r>
      <w:r>
        <w:rPr>
          <w:position w:val="-12"/>
        </w:rPr>
        <w:object w:dxaOrig="270" w:dyaOrig="360">
          <v:shape id="Picture 237" o:spid="_x0000_i1102" type="#_x0000_t75" style="width:13.5pt;height:18pt" o:ole="">
            <v:imagedata r:id="rId145" o:title=""/>
          </v:shape>
          <o:OLEObject Type="Embed" ProgID="Equation.DSMT4" ShapeID="Picture 237" DrawAspect="Content" ObjectID="_1480851531" r:id="rId146"/>
        </w:object>
      </w:r>
      <w:r>
        <w:rPr>
          <w:rFonts w:ascii="宋体" w:hAnsi="宋体" w:hint="eastAsia"/>
          <w:bCs/>
          <w:szCs w:val="21"/>
        </w:rPr>
        <w:t>关于</w:t>
      </w:r>
      <w:r>
        <w:rPr>
          <w:position w:val="-10"/>
        </w:rPr>
        <w:object w:dxaOrig="660" w:dyaOrig="330">
          <v:shape id="Picture 238" o:spid="_x0000_i1103" type="#_x0000_t75" style="width:33pt;height:16.5pt" o:ole="">
            <v:imagedata r:id="rId147" o:title=""/>
          </v:shape>
          <o:OLEObject Type="Embed" ProgID="Equation.DSMT4" ShapeID="Picture 238" DrawAspect="Content" ObjectID="_1480851532" r:id="rId148"/>
        </w:object>
      </w:r>
      <w:r>
        <w:rPr>
          <w:rFonts w:ascii="宋体" w:hAnsi="宋体" w:hint="eastAsia"/>
          <w:bCs/>
          <w:szCs w:val="21"/>
        </w:rPr>
        <w:t>是平坦的(Hurst提出的统计量</w:t>
      </w:r>
      <w:r>
        <w:rPr>
          <w:position w:val="-28"/>
        </w:rPr>
        <w:object w:dxaOrig="1200" w:dyaOrig="840">
          <v:shape id="Picture 239" o:spid="_x0000_i1104" type="#_x0000_t75" style="width:60pt;height:42pt" o:ole="">
            <v:imagedata r:id="rId149" o:title=""/>
          </v:shape>
          <o:OLEObject Type="Embed" ProgID="Equation.DSMT4" ShapeID="Picture 239" DrawAspect="Content" ObjectID="_1480851533" r:id="rId150"/>
        </w:object>
      </w:r>
      <w:r>
        <w:rPr>
          <w:rFonts w:ascii="宋体" w:hAnsi="宋体" w:hint="eastAsia"/>
          <w:bCs/>
          <w:szCs w:val="21"/>
        </w:rPr>
        <w:t>用于</w:t>
      </w:r>
      <w:proofErr w:type="gramStart"/>
      <w:r>
        <w:rPr>
          <w:rFonts w:ascii="宋体" w:hAnsi="宋体" w:hint="eastAsia"/>
          <w:bCs/>
          <w:szCs w:val="21"/>
        </w:rPr>
        <w:t>估计非</w:t>
      </w:r>
      <w:proofErr w:type="gramEnd"/>
      <w:r>
        <w:rPr>
          <w:rFonts w:ascii="宋体" w:hAnsi="宋体" w:hint="eastAsia"/>
          <w:bCs/>
          <w:szCs w:val="21"/>
        </w:rPr>
        <w:t>周期循环长度)。对于具有状态持续性的过程（</w:t>
      </w:r>
      <w:r>
        <w:rPr>
          <w:rFonts w:ascii="宋体" w:hAnsi="宋体"/>
          <w:bCs/>
          <w:szCs w:val="21"/>
        </w:rPr>
        <w:object w:dxaOrig="810" w:dyaOrig="270">
          <v:shape id="Picture 209" o:spid="_x0000_i1105" type="#_x0000_t75" style="width:40.5pt;height:13.5pt" o:ole="">
            <v:imagedata r:id="rId151" o:title=""/>
          </v:shape>
          <o:OLEObject Type="Embed" ProgID="Equation.DSMT4" ShapeID="Picture 209" DrawAspect="Content" ObjectID="_1480851534" r:id="rId152"/>
        </w:object>
      </w:r>
      <w:r>
        <w:rPr>
          <w:rFonts w:ascii="宋体" w:hAnsi="宋体" w:hint="eastAsia"/>
          <w:bCs/>
          <w:szCs w:val="21"/>
        </w:rPr>
        <w:t>）来说,</w:t>
      </w:r>
      <w:r>
        <w:t xml:space="preserve"> </w:t>
      </w:r>
      <w:r>
        <w:rPr>
          <w:position w:val="-12"/>
        </w:rPr>
        <w:object w:dxaOrig="270" w:dyaOrig="360">
          <v:shape id="Picture 240" o:spid="_x0000_i1106" type="#_x0000_t75" style="width:13.5pt;height:18pt" o:ole="">
            <v:imagedata r:id="rId145" o:title=""/>
          </v:shape>
          <o:OLEObject Type="Embed" ProgID="Equation.DSMT4" ShapeID="Picture 240" DrawAspect="Content" ObjectID="_1480851535" r:id="rId153"/>
        </w:object>
      </w:r>
      <w:r>
        <w:rPr>
          <w:rFonts w:ascii="宋体" w:hAnsi="宋体" w:hint="eastAsia"/>
          <w:bCs/>
          <w:szCs w:val="21"/>
        </w:rPr>
        <w:t>关于</w:t>
      </w:r>
      <w:r>
        <w:rPr>
          <w:position w:val="-10"/>
        </w:rPr>
        <w:object w:dxaOrig="660" w:dyaOrig="330">
          <v:shape id="Picture 241" o:spid="_x0000_i1107" type="#_x0000_t75" style="width:33pt;height:16.5pt" o:ole="">
            <v:imagedata r:id="rId147" o:title=""/>
          </v:shape>
          <o:OLEObject Type="Embed" ProgID="Equation.DSMT4" ShapeID="Picture 241" DrawAspect="Content" ObjectID="_1480851536" r:id="rId154"/>
        </w:object>
      </w:r>
      <w:r>
        <w:rPr>
          <w:rFonts w:ascii="宋体" w:hAnsi="宋体" w:hint="eastAsia"/>
          <w:bCs/>
          <w:szCs w:val="21"/>
        </w:rPr>
        <w:t>是向上倾斜,会一直上升。如反持续（</w:t>
      </w:r>
      <w:r>
        <w:rPr>
          <w:rFonts w:ascii="宋体" w:hAnsi="宋体"/>
          <w:bCs/>
          <w:szCs w:val="21"/>
        </w:rPr>
        <w:object w:dxaOrig="810" w:dyaOrig="270">
          <v:shape id="Picture 210" o:spid="_x0000_i1108" type="#_x0000_t75" style="width:40.5pt;height:13.5pt" o:ole="">
            <v:imagedata r:id="rId155" o:title=""/>
          </v:shape>
          <o:OLEObject Type="Embed" ProgID="Equation.DSMT4" ShapeID="Picture 210" DrawAspect="Content" ObjectID="_1480851537" r:id="rId156"/>
        </w:object>
      </w:r>
      <w:r>
        <w:rPr>
          <w:rFonts w:ascii="宋体" w:hAnsi="宋体" w:hint="eastAsia"/>
          <w:bCs/>
          <w:szCs w:val="21"/>
        </w:rPr>
        <w:t>）或随机游走（</w:t>
      </w:r>
      <w:r>
        <w:rPr>
          <w:rFonts w:ascii="宋体" w:hAnsi="宋体"/>
          <w:bCs/>
          <w:szCs w:val="21"/>
        </w:rPr>
        <w:object w:dxaOrig="810" w:dyaOrig="270">
          <v:shape id="Picture 211" o:spid="_x0000_i1109" type="#_x0000_t75" style="width:40.5pt;height:13.5pt" o:ole="">
            <v:imagedata r:id="rId157" o:title=""/>
          </v:shape>
          <o:OLEObject Type="Embed" ProgID="Equation.DSMT4" ShapeID="Picture 211" DrawAspect="Content" ObjectID="_1480851538" r:id="rId158"/>
        </w:object>
      </w:r>
      <w:r>
        <w:rPr>
          <w:rFonts w:ascii="宋体" w:hAnsi="宋体" w:hint="eastAsia"/>
          <w:bCs/>
          <w:szCs w:val="21"/>
        </w:rPr>
        <w:t>）时，统计量</w:t>
      </w:r>
      <w:r>
        <w:rPr>
          <w:position w:val="-12"/>
        </w:rPr>
        <w:object w:dxaOrig="270" w:dyaOrig="360">
          <v:shape id="Picture 242" o:spid="_x0000_i1110" type="#_x0000_t75" style="width:13.5pt;height:18pt" o:ole="">
            <v:imagedata r:id="rId145" o:title=""/>
          </v:shape>
          <o:OLEObject Type="Embed" ProgID="Equation.DSMT4" ShapeID="Picture 242" DrawAspect="Content" ObjectID="_1480851539" r:id="rId159"/>
        </w:object>
      </w:r>
      <w:r>
        <w:rPr>
          <w:rFonts w:ascii="宋体" w:hAnsi="宋体" w:hint="eastAsia"/>
          <w:bCs/>
          <w:szCs w:val="21"/>
        </w:rPr>
        <w:t>就会出现单调下降或保持不变。当</w:t>
      </w:r>
      <w:r>
        <w:rPr>
          <w:position w:val="-12"/>
        </w:rPr>
        <w:object w:dxaOrig="270" w:dyaOrig="360">
          <v:shape id="Picture 243" o:spid="_x0000_i1111" type="#_x0000_t75" style="width:13.5pt;height:18pt" o:ole="">
            <v:imagedata r:id="rId145" o:title=""/>
          </v:shape>
          <o:OLEObject Type="Embed" ProgID="Equation.DSMT4" ShapeID="Picture 243" DrawAspect="Content" ObjectID="_1480851540" r:id="rId160"/>
        </w:object>
      </w:r>
      <w:r>
        <w:rPr>
          <w:rFonts w:ascii="宋体" w:hAnsi="宋体" w:hint="eastAsia"/>
          <w:bCs/>
          <w:szCs w:val="21"/>
        </w:rPr>
        <w:t>值发生突变时,如下图，统计量曲线由上升转为下降的分界点即为序列长期记忆的消失点。通过计算统计量</w:t>
      </w:r>
      <w:r>
        <w:rPr>
          <w:position w:val="-12"/>
        </w:rPr>
        <w:object w:dxaOrig="270" w:dyaOrig="360">
          <v:shape id="Picture 244" o:spid="_x0000_i1112" type="#_x0000_t75" style="width:13.5pt;height:18pt" o:ole="">
            <v:imagedata r:id="rId145" o:title=""/>
          </v:shape>
          <o:OLEObject Type="Embed" ProgID="Equation.DSMT4" ShapeID="Picture 244" DrawAspect="Content" ObjectID="_1480851541" r:id="rId161"/>
        </w:object>
      </w:r>
      <w:r>
        <w:rPr>
          <w:rFonts w:ascii="宋体" w:hAnsi="宋体" w:hint="eastAsia"/>
          <w:bCs/>
          <w:szCs w:val="21"/>
        </w:rPr>
        <w:t>,分析下图中数据发现,</w:t>
      </w:r>
      <w:r>
        <w:t xml:space="preserve"> </w:t>
      </w:r>
      <w:r>
        <w:rPr>
          <w:position w:val="-12"/>
        </w:rPr>
        <w:object w:dxaOrig="270" w:dyaOrig="360">
          <v:shape id="Picture 246" o:spid="_x0000_i1113" type="#_x0000_t75" style="width:13.5pt;height:18pt" o:ole="">
            <v:imagedata r:id="rId145" o:title=""/>
          </v:shape>
          <o:OLEObject Type="Embed" ProgID="Equation.DSMT4" ShapeID="Picture 246" DrawAspect="Content" ObjectID="_1480851542" r:id="rId162"/>
        </w:object>
      </w:r>
      <w:r>
        <w:rPr>
          <w:rFonts w:ascii="宋体" w:hAnsi="宋体" w:hint="eastAsia"/>
          <w:bCs/>
          <w:szCs w:val="21"/>
        </w:rPr>
        <w:t>关于</w:t>
      </w:r>
      <w:r>
        <w:rPr>
          <w:position w:val="-10"/>
        </w:rPr>
        <w:object w:dxaOrig="660" w:dyaOrig="330">
          <v:shape id="Picture 245" o:spid="_x0000_i1114" type="#_x0000_t75" style="width:33pt;height:16.5pt" o:ole="">
            <v:imagedata r:id="rId147" o:title=""/>
          </v:shape>
          <o:OLEObject Type="Embed" ProgID="Equation.DSMT4" ShapeID="Picture 245" DrawAspect="Content" ObjectID="_1480851543" r:id="rId163"/>
        </w:object>
      </w:r>
      <w:r>
        <w:rPr>
          <w:rFonts w:ascii="宋体" w:hAnsi="宋体" w:hint="eastAsia"/>
          <w:bCs/>
          <w:szCs w:val="21"/>
        </w:rPr>
        <w:t>的曲线在n =501时发生突变,估计沪铜1月份期货时间序列的非周期循环长度大约是501天。</w:t>
      </w:r>
    </w:p>
    <w:p w:rsidR="004165EC" w:rsidRDefault="00C97C8E">
      <w:pPr>
        <w:spacing w:line="360" w:lineRule="auto"/>
        <w:rPr>
          <w:rFonts w:ascii="宋体" w:hAnsi="宋体"/>
          <w:bCs/>
          <w:szCs w:val="21"/>
        </w:rPr>
      </w:pPr>
      <w:r>
        <w:rPr>
          <w:rFonts w:ascii="宋体" w:hAnsi="宋体"/>
          <w:bCs/>
          <w:szCs w:val="21"/>
        </w:rPr>
        <w:lastRenderedPageBreak/>
        <w:pict>
          <v:shape id="图片 254" o:spid="_x0000_i1115" type="#_x0000_t75" style="width:324pt;height:243pt">
            <v:imagedata r:id="rId164" o:title="QQ图片20141130203625"/>
          </v:shape>
        </w:pict>
      </w:r>
    </w:p>
    <w:p w:rsidR="004165EC" w:rsidRDefault="00C97C8E">
      <w:pPr>
        <w:spacing w:line="360" w:lineRule="auto"/>
        <w:ind w:firstLineChars="200" w:firstLine="420"/>
        <w:rPr>
          <w:rFonts w:ascii="宋体" w:hAnsi="宋体"/>
          <w:bCs/>
          <w:szCs w:val="21"/>
        </w:rPr>
      </w:pPr>
      <w:r>
        <w:rPr>
          <w:rFonts w:ascii="宋体" w:hAnsi="宋体" w:hint="eastAsia"/>
          <w:bCs/>
          <w:szCs w:val="21"/>
        </w:rPr>
        <w:t>相应的豆</w:t>
      </w:r>
      <w:proofErr w:type="gramStart"/>
      <w:r>
        <w:rPr>
          <w:rFonts w:ascii="宋体" w:hAnsi="宋体" w:hint="eastAsia"/>
          <w:bCs/>
          <w:szCs w:val="21"/>
        </w:rPr>
        <w:t>粕</w:t>
      </w:r>
      <w:proofErr w:type="gramEnd"/>
      <w:r>
        <w:rPr>
          <w:rFonts w:ascii="宋体" w:hAnsi="宋体" w:hint="eastAsia"/>
          <w:bCs/>
          <w:szCs w:val="21"/>
        </w:rPr>
        <w:t>合约进行同样处理，得到如下结果：</w:t>
      </w:r>
    </w:p>
    <w:p w:rsidR="004165EC" w:rsidRDefault="00C97C8E">
      <w:pPr>
        <w:spacing w:line="360" w:lineRule="auto"/>
        <w:rPr>
          <w:rFonts w:ascii="宋体" w:hAnsi="宋体"/>
          <w:bCs/>
          <w:szCs w:val="21"/>
        </w:rPr>
      </w:pPr>
      <w:r>
        <w:rPr>
          <w:rFonts w:ascii="宋体" w:hAnsi="宋体" w:hint="eastAsia"/>
          <w:bCs/>
          <w:szCs w:val="21"/>
        </w:rPr>
        <w:t xml:space="preserve">  </w:t>
      </w:r>
      <w:r>
        <w:rPr>
          <w:rFonts w:ascii="宋体" w:hAnsi="宋体"/>
          <w:bCs/>
          <w:szCs w:val="21"/>
        </w:rPr>
        <w:pict>
          <v:shape id="图片 318" o:spid="_x0000_i1116" type="#_x0000_t75" style="width:189pt;height:147.75pt">
            <v:imagedata r:id="rId165" o:title="QQ图片20141130205933"/>
          </v:shape>
        </w:pict>
      </w:r>
      <w:r>
        <w:rPr>
          <w:rFonts w:ascii="宋体" w:hAnsi="宋体"/>
          <w:b/>
          <w:bCs/>
          <w:szCs w:val="21"/>
        </w:rPr>
        <w:pict>
          <v:shape id="图片 319" o:spid="_x0000_i1117" type="#_x0000_t75" style="width:200.25pt;height:150pt">
            <v:imagedata r:id="rId166" o:title="QQ图片20141130210031"/>
          </v:shape>
        </w:pict>
      </w:r>
    </w:p>
    <w:p w:rsidR="004165EC" w:rsidRDefault="004165EC">
      <w:pPr>
        <w:spacing w:line="360" w:lineRule="auto"/>
        <w:rPr>
          <w:rFonts w:ascii="宋体" w:hAnsi="宋体"/>
          <w:bCs/>
          <w:szCs w:val="21"/>
        </w:rPr>
      </w:pPr>
    </w:p>
    <w:p w:rsidR="004165EC" w:rsidRDefault="00C97C8E">
      <w:pPr>
        <w:spacing w:line="360" w:lineRule="auto"/>
        <w:rPr>
          <w:rFonts w:ascii="宋体" w:hAnsi="宋体"/>
          <w:b/>
          <w:bCs/>
          <w:szCs w:val="21"/>
        </w:rPr>
      </w:pPr>
      <w:r>
        <w:rPr>
          <w:rFonts w:ascii="宋体" w:hAnsi="宋体"/>
          <w:b/>
          <w:bCs/>
          <w:szCs w:val="21"/>
        </w:rPr>
        <w:pict>
          <v:shape id="图片 320" o:spid="_x0000_i1118" type="#_x0000_t75" style="width:201.75pt;height:150.75pt">
            <v:imagedata r:id="rId167" o:title="QQ图片20141130210233"/>
          </v:shape>
        </w:pict>
      </w:r>
      <w:r>
        <w:rPr>
          <w:rFonts w:ascii="宋体" w:hAnsi="宋体"/>
          <w:bCs/>
          <w:szCs w:val="21"/>
        </w:rPr>
        <w:pict>
          <v:shape id="图片 321" o:spid="_x0000_i1119" type="#_x0000_t75" style="width:206.25pt;height:154.5pt">
            <v:imagedata r:id="rId168" o:title="QQ图片20141130210317"/>
          </v:shape>
        </w:pict>
      </w:r>
    </w:p>
    <w:p w:rsidR="004165EC" w:rsidRDefault="00C97C8E">
      <w:pPr>
        <w:spacing w:line="360" w:lineRule="auto"/>
        <w:rPr>
          <w:rFonts w:ascii="宋体" w:hAnsi="宋体"/>
          <w:bCs/>
          <w:szCs w:val="21"/>
        </w:rPr>
      </w:pPr>
      <w:r>
        <w:rPr>
          <w:rFonts w:ascii="宋体" w:hAnsi="宋体" w:hint="eastAsia"/>
          <w:bCs/>
          <w:szCs w:val="21"/>
        </w:rPr>
        <w:t>注意：其上豆</w:t>
      </w:r>
      <w:proofErr w:type="gramStart"/>
      <w:r>
        <w:rPr>
          <w:rFonts w:ascii="宋体" w:hAnsi="宋体" w:hint="eastAsia"/>
          <w:bCs/>
          <w:szCs w:val="21"/>
        </w:rPr>
        <w:t>粕</w:t>
      </w:r>
      <w:proofErr w:type="gramEnd"/>
      <w:r>
        <w:rPr>
          <w:rFonts w:ascii="宋体" w:hAnsi="宋体" w:hint="eastAsia"/>
          <w:bCs/>
          <w:szCs w:val="21"/>
        </w:rPr>
        <w:t>的Hurst指数为0.4812，但右边的统计量</w:t>
      </w:r>
      <w:r>
        <w:rPr>
          <w:rFonts w:ascii="宋体" w:hAnsi="宋体"/>
          <w:bCs/>
          <w:szCs w:val="21"/>
        </w:rPr>
        <w:object w:dxaOrig="270" w:dyaOrig="360">
          <v:shape id="Picture 247" o:spid="_x0000_i1120" type="#_x0000_t75" style="width:13.5pt;height:18pt" o:ole="">
            <v:imagedata r:id="rId145" o:title=""/>
          </v:shape>
          <o:OLEObject Type="Embed" ProgID="Equation.DSMT4" ShapeID="Picture 247" DrawAspect="Content" ObjectID="_1480851544" r:id="rId169"/>
        </w:object>
      </w:r>
      <w:r>
        <w:rPr>
          <w:rFonts w:ascii="宋体" w:hAnsi="宋体" w:hint="eastAsia"/>
          <w:bCs/>
          <w:szCs w:val="21"/>
        </w:rPr>
        <w:t>却是递增的，与事实不是很相符，需要进一步对数据进行进一步核对，分析和解释。</w:t>
      </w:r>
    </w:p>
    <w:p w:rsidR="004165EC" w:rsidRDefault="00C97C8E">
      <w:pPr>
        <w:spacing w:line="360" w:lineRule="auto"/>
        <w:rPr>
          <w:rFonts w:ascii="宋体" w:hAnsi="宋体"/>
          <w:b/>
          <w:bCs/>
          <w:szCs w:val="21"/>
        </w:rPr>
      </w:pPr>
      <w:r>
        <w:rPr>
          <w:rFonts w:ascii="宋体" w:hAnsi="宋体" w:hint="eastAsia"/>
          <w:b/>
          <w:bCs/>
          <w:szCs w:val="21"/>
        </w:rPr>
        <w:t>5.2.2 阶段性结论</w:t>
      </w:r>
    </w:p>
    <w:p w:rsidR="004165EC" w:rsidRDefault="00C97C8E">
      <w:pPr>
        <w:spacing w:line="360" w:lineRule="auto"/>
        <w:ind w:firstLineChars="200" w:firstLine="420"/>
        <w:rPr>
          <w:rFonts w:ascii="宋体" w:hAnsi="宋体"/>
          <w:bCs/>
          <w:szCs w:val="21"/>
        </w:rPr>
      </w:pPr>
      <w:r>
        <w:rPr>
          <w:rFonts w:ascii="宋体" w:hAnsi="宋体" w:hint="eastAsia"/>
          <w:bCs/>
          <w:szCs w:val="21"/>
        </w:rPr>
        <w:lastRenderedPageBreak/>
        <w:t>根据以上分析,得出以下结论：</w:t>
      </w:r>
    </w:p>
    <w:p w:rsidR="004165EC" w:rsidRDefault="00C97C8E">
      <w:pPr>
        <w:spacing w:line="360" w:lineRule="auto"/>
        <w:ind w:firstLineChars="200" w:firstLine="420"/>
        <w:rPr>
          <w:rFonts w:ascii="宋体" w:hAnsi="宋体"/>
          <w:bCs/>
          <w:szCs w:val="21"/>
        </w:rPr>
      </w:pPr>
      <w:r>
        <w:rPr>
          <w:rFonts w:ascii="宋体" w:hAnsi="宋体" w:hint="eastAsia"/>
          <w:bCs/>
          <w:szCs w:val="21"/>
        </w:rPr>
        <w:t>沪铜期货价格波动不是随机游动,是典型的有偏随机游动,沪铜的H指大于0.5，,期货市场收益率时间序列存在状态持续性,即如果价格在前一个时期是向上(或向下)走的,那么它在下一个时期延续这一趋势的可能性更大,这与实际情况是一致的,市场经常表现为期货价格的连续上涨或连续下跌。价格具有记忆性,今天发生事件的影响会一直持续下去,直到长记忆消失。沪铜1月份期货合约的非周期循环长度大约是501天,这里的501天的循环不是“价格”的循环,是统计特征的循环。501天是铜期货价格长记忆消失所需要的时间,这个时间长度对于投资者决策有一定的指导作用。</w:t>
      </w:r>
    </w:p>
    <w:p w:rsidR="004165EC" w:rsidRDefault="00C97C8E">
      <w:pPr>
        <w:spacing w:line="360" w:lineRule="auto"/>
        <w:rPr>
          <w:rFonts w:ascii="宋体" w:hAnsi="宋体"/>
          <w:b/>
          <w:bCs/>
          <w:szCs w:val="21"/>
        </w:rPr>
      </w:pPr>
      <w:r>
        <w:rPr>
          <w:rFonts w:ascii="宋体" w:hAnsi="宋体" w:hint="eastAsia"/>
          <w:b/>
          <w:bCs/>
          <w:szCs w:val="21"/>
        </w:rPr>
        <w:t>5.2.3下一步计划</w:t>
      </w:r>
    </w:p>
    <w:p w:rsidR="004165EC" w:rsidRDefault="00C97C8E">
      <w:pPr>
        <w:spacing w:line="360" w:lineRule="auto"/>
        <w:ind w:firstLineChars="200" w:firstLine="420"/>
        <w:rPr>
          <w:rFonts w:ascii="宋体" w:hAnsi="宋体"/>
          <w:bCs/>
          <w:szCs w:val="21"/>
        </w:rPr>
      </w:pPr>
      <w:r>
        <w:rPr>
          <w:rFonts w:ascii="宋体" w:hAnsi="宋体" w:hint="eastAsia"/>
          <w:bCs/>
          <w:szCs w:val="21"/>
        </w:rPr>
        <w:t>1.进一步处理：首先需要对每支期货的不同月份按日，周，月时间跨度进行分析，得出比较全面的Hurst指数，进行综合分析。接着以跳跃点为界，分割时间序列，分别再次计算出Hurst指数，进一步验证非周期循环的存在性，并进行分析。最后需要计算不同期货品种和股指期货的Hurst指数。如在投机中可以寻找Hurst指数异乎寻常大的期货，然后研究过去的走向形势，判断其基本形势是看涨还是看跌进行投机。</w:t>
      </w:r>
    </w:p>
    <w:p w:rsidR="004165EC" w:rsidRDefault="00C97C8E">
      <w:pPr>
        <w:spacing w:line="360" w:lineRule="auto"/>
        <w:ind w:firstLineChars="200" w:firstLine="420"/>
        <w:rPr>
          <w:rFonts w:ascii="宋体" w:hAnsi="宋体"/>
          <w:bCs/>
          <w:szCs w:val="21"/>
        </w:rPr>
      </w:pPr>
      <w:r>
        <w:rPr>
          <w:rFonts w:ascii="宋体" w:hAnsi="宋体" w:hint="eastAsia"/>
          <w:bCs/>
          <w:szCs w:val="21"/>
        </w:rPr>
        <w:t>2.H值稳定性检验</w:t>
      </w:r>
    </w:p>
    <w:p w:rsidR="004165EC" w:rsidRDefault="00C97C8E">
      <w:pPr>
        <w:spacing w:line="360" w:lineRule="auto"/>
        <w:ind w:firstLineChars="200" w:firstLine="420"/>
        <w:rPr>
          <w:rFonts w:ascii="宋体" w:hAnsi="宋体"/>
          <w:bCs/>
          <w:szCs w:val="21"/>
        </w:rPr>
      </w:pPr>
      <w:r>
        <w:rPr>
          <w:rFonts w:ascii="宋体" w:hAnsi="宋体" w:hint="eastAsia"/>
          <w:bCs/>
          <w:szCs w:val="21"/>
        </w:rPr>
        <w:t>彼得斯认为要检验H的稳定性必须检验在不同的时间频率上H值如何缩放。</w:t>
      </w:r>
    </w:p>
    <w:p w:rsidR="004165EC" w:rsidRDefault="00C97C8E">
      <w:pPr>
        <w:spacing w:line="360" w:lineRule="auto"/>
        <w:rPr>
          <w:rFonts w:ascii="宋体" w:hAnsi="宋体"/>
          <w:bCs/>
          <w:szCs w:val="21"/>
        </w:rPr>
      </w:pPr>
      <w:r>
        <w:rPr>
          <w:rFonts w:ascii="宋体" w:hAnsi="宋体" w:hint="eastAsia"/>
          <w:bCs/>
          <w:szCs w:val="21"/>
        </w:rPr>
        <w:t>继续运用R /S分析方法分别研究</w:t>
      </w:r>
      <w:r>
        <w:rPr>
          <w:rFonts w:ascii="宋体" w:hAnsi="宋体" w:hint="eastAsia"/>
          <w:b/>
          <w:bCs/>
          <w:szCs w:val="21"/>
        </w:rPr>
        <w:t>以周和月为间隔（待做,）</w:t>
      </w:r>
      <w:r>
        <w:rPr>
          <w:rFonts w:ascii="宋体" w:hAnsi="宋体" w:hint="eastAsia"/>
          <w:bCs/>
          <w:szCs w:val="21"/>
        </w:rPr>
        <w:t>的沪铜期货价格时间序列,比较在不同的时间频率上H值如何缩放。</w:t>
      </w:r>
    </w:p>
    <w:p w:rsidR="004165EC" w:rsidRDefault="00C97C8E">
      <w:pPr>
        <w:spacing w:line="360" w:lineRule="auto"/>
        <w:ind w:firstLineChars="200" w:firstLine="420"/>
        <w:rPr>
          <w:rFonts w:ascii="宋体" w:hAnsi="宋体"/>
          <w:bCs/>
          <w:szCs w:val="21"/>
        </w:rPr>
      </w:pPr>
      <w:r>
        <w:rPr>
          <w:rFonts w:ascii="宋体" w:hAnsi="宋体" w:hint="eastAsia"/>
          <w:bCs/>
          <w:szCs w:val="21"/>
        </w:rPr>
        <w:t>3.有效性检验</w:t>
      </w:r>
    </w:p>
    <w:p w:rsidR="004165EC" w:rsidRDefault="00C97C8E">
      <w:pPr>
        <w:spacing w:line="360" w:lineRule="auto"/>
        <w:ind w:firstLineChars="200" w:firstLine="420"/>
        <w:rPr>
          <w:rFonts w:ascii="宋体" w:hAnsi="宋体"/>
          <w:bCs/>
          <w:szCs w:val="21"/>
        </w:rPr>
      </w:pPr>
      <w:r>
        <w:rPr>
          <w:rFonts w:ascii="宋体" w:hAnsi="宋体" w:hint="eastAsia"/>
          <w:bCs/>
          <w:szCs w:val="21"/>
        </w:rPr>
        <w:t>为了进一步论证上述结论,采用彼得斯的方法,通过</w:t>
      </w:r>
      <w:r>
        <w:rPr>
          <w:rFonts w:ascii="宋体" w:hAnsi="宋体" w:hint="eastAsia"/>
          <w:b/>
          <w:bCs/>
          <w:szCs w:val="21"/>
        </w:rPr>
        <w:t>随机打乱</w:t>
      </w:r>
      <w:proofErr w:type="gramStart"/>
      <w:r>
        <w:rPr>
          <w:rFonts w:ascii="宋体" w:hAnsi="宋体" w:hint="eastAsia"/>
          <w:b/>
          <w:bCs/>
          <w:szCs w:val="21"/>
        </w:rPr>
        <w:t>沪铜周收益率</w:t>
      </w:r>
      <w:proofErr w:type="gramEnd"/>
      <w:r>
        <w:rPr>
          <w:rFonts w:ascii="宋体" w:hAnsi="宋体" w:hint="eastAsia"/>
          <w:b/>
          <w:bCs/>
          <w:szCs w:val="21"/>
        </w:rPr>
        <w:t>（待做）</w:t>
      </w:r>
      <w:r>
        <w:rPr>
          <w:rFonts w:ascii="宋体" w:hAnsi="宋体" w:hint="eastAsia"/>
          <w:bCs/>
          <w:szCs w:val="21"/>
        </w:rPr>
        <w:t>的时间序列来进行检验。</w:t>
      </w:r>
    </w:p>
    <w:p w:rsidR="004165EC" w:rsidRDefault="00C97C8E">
      <w:pPr>
        <w:spacing w:line="360" w:lineRule="auto"/>
        <w:rPr>
          <w:rFonts w:ascii="宋体" w:hAnsi="宋体"/>
          <w:b/>
          <w:bCs/>
          <w:sz w:val="28"/>
          <w:szCs w:val="28"/>
        </w:rPr>
      </w:pPr>
      <w:r>
        <w:rPr>
          <w:rFonts w:ascii="宋体" w:hAnsi="宋体" w:hint="eastAsia"/>
          <w:b/>
          <w:bCs/>
          <w:sz w:val="28"/>
          <w:szCs w:val="28"/>
        </w:rPr>
        <w:t>6 其他相关研究</w:t>
      </w:r>
    </w:p>
    <w:p w:rsidR="004165EC" w:rsidRDefault="00C97C8E">
      <w:pPr>
        <w:spacing w:line="360" w:lineRule="auto"/>
        <w:rPr>
          <w:rFonts w:ascii="宋体" w:hAnsi="宋体" w:cs="宋体"/>
        </w:rPr>
      </w:pPr>
      <w:r>
        <w:rPr>
          <w:rFonts w:ascii="宋体" w:hAnsi="宋体" w:cs="宋体" w:hint="eastAsia"/>
        </w:rPr>
        <w:t>一、趋势分析（非固定窗口期）</w:t>
      </w:r>
    </w:p>
    <w:p w:rsidR="004165EC" w:rsidRDefault="00C97C8E">
      <w:pPr>
        <w:spacing w:line="360" w:lineRule="auto"/>
        <w:ind w:firstLineChars="200" w:firstLine="420"/>
        <w:rPr>
          <w:rFonts w:ascii="宋体" w:hAnsi="宋体" w:cs="宋体"/>
        </w:rPr>
      </w:pPr>
      <w:r>
        <w:rPr>
          <w:rFonts w:ascii="宋体" w:hAnsi="宋体" w:cs="宋体" w:hint="eastAsia"/>
        </w:rPr>
        <w:t>1.移动标准差</w:t>
      </w:r>
    </w:p>
    <w:p w:rsidR="004165EC" w:rsidRDefault="00C97C8E">
      <w:pPr>
        <w:spacing w:line="360" w:lineRule="auto"/>
        <w:ind w:firstLineChars="200" w:firstLine="420"/>
        <w:rPr>
          <w:rFonts w:ascii="宋体" w:hAnsi="宋体" w:cs="宋体"/>
        </w:rPr>
      </w:pPr>
      <w:r>
        <w:rPr>
          <w:rFonts w:ascii="宋体" w:hAnsi="宋体" w:cs="宋体" w:hint="eastAsia"/>
        </w:rPr>
        <w:t>考虑到移动均值的技术分析经常被人们使用，为了更好的精确性和实用性，我们采用移动标准差（如果较好，可以结合移动均值来分析）</w:t>
      </w:r>
    </w:p>
    <w:p w:rsidR="004165EC" w:rsidRDefault="00C97C8E" w:rsidP="00C97C8E">
      <w:pPr>
        <w:spacing w:line="360" w:lineRule="auto"/>
        <w:ind w:firstLineChars="200" w:firstLine="420"/>
        <w:rPr>
          <w:rFonts w:ascii="宋体" w:hAnsi="宋体" w:cs="宋体"/>
        </w:rPr>
      </w:pPr>
      <w:r>
        <w:rPr>
          <w:rFonts w:ascii="宋体" w:hAnsi="宋体" w:cs="宋体" w:hint="eastAsia"/>
        </w:rPr>
        <w:t>设计了三种显然的趋势：震荡、上升、下降。震荡趋势时，标准差较小，上升及下降趋势时，因为涵盖了趋势的力量，所以标准差大。且变化节点处标准差会有明显的上升或下降的</w:t>
      </w:r>
      <w:proofErr w:type="gramStart"/>
      <w:r>
        <w:rPr>
          <w:rFonts w:ascii="宋体" w:hAnsi="宋体" w:cs="宋体" w:hint="eastAsia"/>
        </w:rPr>
        <w:t>一</w:t>
      </w:r>
      <w:proofErr w:type="gramEnd"/>
      <w:r>
        <w:rPr>
          <w:rFonts w:ascii="宋体" w:hAnsi="宋体" w:cs="宋体" w:hint="eastAsia"/>
        </w:rPr>
        <w:t>小段。（绿线为聚类分析）</w:t>
      </w:r>
    </w:p>
    <w:p w:rsidR="004165EC" w:rsidRDefault="004165EC">
      <w:pPr>
        <w:spacing w:line="360" w:lineRule="auto"/>
        <w:rPr>
          <w:rFonts w:ascii="宋体" w:hAnsi="宋体" w:cs="宋体"/>
        </w:rPr>
      </w:pPr>
    </w:p>
    <w:p w:rsidR="004165EC" w:rsidRDefault="00C97C8E">
      <w:pPr>
        <w:spacing w:line="360" w:lineRule="auto"/>
        <w:rPr>
          <w:rFonts w:ascii="宋体" w:hAnsi="宋体" w:cs="宋体"/>
        </w:rPr>
      </w:pPr>
      <w:r>
        <w:rPr>
          <w:rFonts w:ascii="宋体" w:hAnsi="宋体" w:cs="宋体"/>
        </w:rPr>
        <w:pict>
          <v:shape id="图片 1" o:spid="_x0000_s1161" type="#_x0000_t75" style="position:absolute;left:0;text-align:left;margin-left:99.75pt;margin-top:49pt;width:378pt;height:283.4pt;z-index:35;mso-position-horizontal-relative:page;mso-position-vertical-relative:page">
            <v:imagedata r:id="rId170" o:title=""/>
            <w10:wrap anchorx="page" anchory="page"/>
          </v:shape>
        </w:pict>
      </w: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C97C8E">
      <w:pPr>
        <w:spacing w:line="360" w:lineRule="auto"/>
        <w:rPr>
          <w:rFonts w:ascii="宋体" w:hAnsi="宋体" w:cs="宋体"/>
        </w:rPr>
      </w:pPr>
      <w:r>
        <w:rPr>
          <w:rFonts w:ascii="宋体" w:hAnsi="宋体" w:cs="宋体" w:hint="eastAsia"/>
        </w:rPr>
        <w:t xml:space="preserve">    以分钟铜的价格数据绘图：红线是期限较长的移动标准差，绿线较短：</w:t>
      </w:r>
    </w:p>
    <w:p w:rsidR="004165EC" w:rsidRDefault="00C97C8E">
      <w:pPr>
        <w:spacing w:line="360" w:lineRule="auto"/>
        <w:rPr>
          <w:rFonts w:ascii="宋体" w:hAnsi="宋体" w:cs="宋体"/>
        </w:rPr>
      </w:pPr>
      <w:r>
        <w:rPr>
          <w:rFonts w:ascii="宋体" w:hAnsi="宋体" w:cs="宋体"/>
        </w:rPr>
        <w:pict>
          <v:shape id="_x0000_i1121" type="#_x0000_t75" style="width:415.5pt;height:198pt">
            <v:imagedata r:id="rId171" o:title=""/>
          </v:shape>
        </w:pict>
      </w:r>
    </w:p>
    <w:p w:rsidR="004165EC" w:rsidRDefault="00C97C8E">
      <w:pPr>
        <w:spacing w:line="360" w:lineRule="auto"/>
        <w:rPr>
          <w:rFonts w:ascii="宋体" w:hAnsi="宋体" w:cs="宋体"/>
        </w:rPr>
      </w:pPr>
      <w:r>
        <w:rPr>
          <w:rFonts w:ascii="宋体" w:hAnsi="宋体" w:cs="宋体"/>
        </w:rPr>
        <w:lastRenderedPageBreak/>
        <w:pict>
          <v:shape id="_x0000_i1122" type="#_x0000_t75" style="width:415.5pt;height:198pt">
            <v:imagedata r:id="rId172" o:title=""/>
          </v:shape>
        </w:pict>
      </w:r>
    </w:p>
    <w:p w:rsidR="004165EC" w:rsidRDefault="00C97C8E">
      <w:pPr>
        <w:spacing w:line="360" w:lineRule="auto"/>
        <w:rPr>
          <w:rFonts w:ascii="宋体" w:hAnsi="宋体" w:cs="宋体"/>
        </w:rPr>
      </w:pPr>
      <w:r>
        <w:rPr>
          <w:rFonts w:ascii="宋体" w:hAnsi="宋体" w:cs="宋体" w:hint="eastAsia"/>
        </w:rPr>
        <w:t xml:space="preserve">    分成5类（按照时间，价格，标准差聚类）</w:t>
      </w:r>
    </w:p>
    <w:p w:rsidR="004165EC" w:rsidRDefault="00C97C8E">
      <w:pPr>
        <w:spacing w:line="360" w:lineRule="auto"/>
        <w:rPr>
          <w:rFonts w:ascii="宋体" w:hAnsi="宋体" w:cs="宋体"/>
        </w:rPr>
      </w:pPr>
      <w:r>
        <w:rPr>
          <w:rFonts w:ascii="宋体" w:hAnsi="宋体" w:cs="宋体"/>
        </w:rPr>
        <w:pict>
          <v:shape id="_x0000_i1123" type="#_x0000_t75" style="width:415.5pt;height:311.25pt">
            <v:imagedata r:id="rId173" o:title=""/>
          </v:shape>
        </w:pict>
      </w:r>
    </w:p>
    <w:p w:rsidR="004165EC" w:rsidRDefault="00C97C8E">
      <w:pPr>
        <w:spacing w:line="360" w:lineRule="auto"/>
        <w:rPr>
          <w:rFonts w:ascii="宋体" w:hAnsi="宋体" w:cs="宋体"/>
        </w:rPr>
      </w:pPr>
      <w:r>
        <w:rPr>
          <w:rFonts w:ascii="宋体" w:hAnsi="宋体" w:cs="宋体" w:hint="eastAsia"/>
        </w:rPr>
        <w:t xml:space="preserve">    分成3类（按照时间，价格，标准差聚类）零附近的红线为移动标准差。</w:t>
      </w:r>
    </w:p>
    <w:p w:rsidR="004165EC" w:rsidRDefault="00C97C8E">
      <w:pPr>
        <w:spacing w:line="360" w:lineRule="auto"/>
        <w:rPr>
          <w:rFonts w:ascii="宋体" w:hAnsi="宋体" w:cs="宋体"/>
        </w:rPr>
      </w:pPr>
      <w:r>
        <w:rPr>
          <w:rFonts w:ascii="宋体" w:hAnsi="宋体" w:cs="宋体"/>
        </w:rPr>
        <w:lastRenderedPageBreak/>
        <w:pict>
          <v:shape id="_x0000_i1124" type="#_x0000_t75" style="width:415.5pt;height:311.25pt">
            <v:imagedata r:id="rId174" o:title=""/>
          </v:shape>
        </w:pict>
      </w:r>
    </w:p>
    <w:p w:rsidR="004165EC" w:rsidRDefault="00C97C8E">
      <w:pPr>
        <w:spacing w:line="360" w:lineRule="auto"/>
        <w:rPr>
          <w:rFonts w:ascii="宋体" w:hAnsi="宋体" w:cs="宋体"/>
        </w:rPr>
      </w:pPr>
      <w:r>
        <w:rPr>
          <w:rFonts w:ascii="宋体" w:hAnsi="宋体" w:cs="宋体" w:hint="eastAsia"/>
        </w:rPr>
        <w:t xml:space="preserve">    分成3类（按照时间，价格，持仓量）</w:t>
      </w:r>
    </w:p>
    <w:p w:rsidR="004165EC" w:rsidRDefault="00C97C8E">
      <w:pPr>
        <w:spacing w:line="360" w:lineRule="auto"/>
        <w:rPr>
          <w:rFonts w:ascii="宋体" w:hAnsi="宋体" w:cs="宋体"/>
        </w:rPr>
      </w:pPr>
      <w:r>
        <w:rPr>
          <w:rFonts w:ascii="宋体" w:hAnsi="宋体" w:cs="宋体"/>
        </w:rPr>
        <w:pict>
          <v:shape id="_x0000_i1125" type="#_x0000_t75" style="width:415.5pt;height:311.25pt">
            <v:imagedata r:id="rId175" o:title=""/>
          </v:shape>
        </w:pict>
      </w:r>
      <w:r>
        <w:rPr>
          <w:rFonts w:ascii="宋体" w:hAnsi="宋体" w:cs="宋体" w:hint="eastAsia"/>
        </w:rPr>
        <w:t xml:space="preserve">                     可见：加入持仓量后分类信息居然和含标准差的几乎一致，所以，标准差中确实蕴含了一定的信息，或者说，人们在不自觉地按照标准差制定交易策略。</w:t>
      </w:r>
    </w:p>
    <w:p w:rsidR="004165EC" w:rsidRDefault="00C97C8E">
      <w:pPr>
        <w:spacing w:line="360" w:lineRule="auto"/>
        <w:rPr>
          <w:rFonts w:ascii="宋体" w:hAnsi="宋体" w:cs="宋体"/>
        </w:rPr>
      </w:pPr>
      <w:r>
        <w:rPr>
          <w:rFonts w:ascii="宋体" w:hAnsi="宋体" w:cs="宋体"/>
        </w:rPr>
        <w:lastRenderedPageBreak/>
        <w:pict>
          <v:shape id="_x0000_i1126" type="#_x0000_t75" style="width:415.5pt;height:311.25pt">
            <v:imagedata r:id="rId176" o:title=""/>
          </v:shape>
        </w:pict>
      </w:r>
    </w:p>
    <w:p w:rsidR="004165EC" w:rsidRDefault="00C97C8E">
      <w:pPr>
        <w:spacing w:line="360" w:lineRule="auto"/>
        <w:rPr>
          <w:rFonts w:ascii="宋体" w:hAnsi="宋体" w:cs="宋体"/>
        </w:rPr>
      </w:pPr>
      <w:r>
        <w:rPr>
          <w:rFonts w:ascii="宋体" w:hAnsi="宋体" w:cs="宋体"/>
        </w:rPr>
        <w:pict>
          <v:shape id="_x0000_i1127" type="#_x0000_t75" style="width:415.5pt;height:311.25pt">
            <v:imagedata r:id="rId177" o:title=""/>
          </v:shape>
        </w:pict>
      </w:r>
    </w:p>
    <w:p w:rsidR="004165EC" w:rsidRDefault="00C97C8E">
      <w:pPr>
        <w:spacing w:line="360" w:lineRule="auto"/>
        <w:rPr>
          <w:rFonts w:ascii="宋体" w:hAnsi="宋体" w:cs="宋体"/>
        </w:rPr>
      </w:pPr>
      <w:r>
        <w:rPr>
          <w:rFonts w:ascii="宋体" w:hAnsi="宋体" w:cs="宋体"/>
        </w:rPr>
        <w:lastRenderedPageBreak/>
        <w:pict>
          <v:shape id="_x0000_i1128" type="#_x0000_t75" style="width:415.5pt;height:311.25pt">
            <v:imagedata r:id="rId178" o:title=""/>
          </v:shape>
        </w:pict>
      </w:r>
    </w:p>
    <w:p w:rsidR="004165EC" w:rsidRDefault="00C97C8E">
      <w:pPr>
        <w:spacing w:line="360" w:lineRule="auto"/>
        <w:rPr>
          <w:rFonts w:ascii="宋体" w:hAnsi="宋体" w:cs="宋体"/>
        </w:rPr>
      </w:pPr>
      <w:r>
        <w:rPr>
          <w:rFonts w:ascii="宋体" w:hAnsi="宋体" w:cs="宋体" w:hint="eastAsia"/>
        </w:rPr>
        <w:t xml:space="preserve">     后来有考虑联合偏度和峰度一起考虑，蓝线是偏度，绿线是峰度。但是还没考虑到是用综合指标（均值、标准差、偏度、峰度的综合函数）还是加上（时间、价格）做多维聚类。</w:t>
      </w:r>
    </w:p>
    <w:p w:rsidR="004165EC" w:rsidRDefault="00C97C8E">
      <w:pPr>
        <w:spacing w:line="360" w:lineRule="auto"/>
        <w:rPr>
          <w:rFonts w:ascii="宋体" w:hAnsi="宋体" w:cs="宋体"/>
        </w:rPr>
      </w:pPr>
      <w:r>
        <w:rPr>
          <w:rFonts w:ascii="宋体" w:hAnsi="宋体" w:cs="宋体" w:hint="eastAsia"/>
        </w:rPr>
        <w:t>这张图的红线是移动标准差，0附近的蓝线是移动均值的差，可以看出。移动均值的峰点对应移动标准差的峰点，</w:t>
      </w:r>
      <w:proofErr w:type="gramStart"/>
      <w:r>
        <w:rPr>
          <w:rFonts w:ascii="宋体" w:hAnsi="宋体" w:cs="宋体" w:hint="eastAsia"/>
        </w:rPr>
        <w:t>谷点对应</w:t>
      </w:r>
      <w:proofErr w:type="gramEnd"/>
      <w:r>
        <w:rPr>
          <w:rFonts w:ascii="宋体" w:hAnsi="宋体" w:cs="宋体" w:hint="eastAsia"/>
        </w:rPr>
        <w:t>移动标准差的峰点，也就是说：移动均值所涵盖的信息量更大。故，放弃了移动标准差。</w:t>
      </w:r>
    </w:p>
    <w:p w:rsidR="004165EC" w:rsidRDefault="00C97C8E">
      <w:pPr>
        <w:spacing w:line="360" w:lineRule="auto"/>
        <w:rPr>
          <w:rFonts w:ascii="宋体" w:hAnsi="宋体" w:cs="宋体"/>
        </w:rPr>
      </w:pPr>
      <w:r>
        <w:rPr>
          <w:rFonts w:ascii="宋体" w:hAnsi="宋体" w:cs="宋体" w:hint="eastAsia"/>
        </w:rPr>
        <w:t xml:space="preserve">    而且，聚类分析首先要确定分几类，固然可以分3类，但是又要求对数量级的处理，技术上没达到，且，项目主要要求宏观分析，故，后来没做。</w:t>
      </w:r>
    </w:p>
    <w:p w:rsidR="004165EC" w:rsidRDefault="00C97C8E">
      <w:pPr>
        <w:spacing w:line="360" w:lineRule="auto"/>
        <w:rPr>
          <w:rFonts w:ascii="宋体" w:hAnsi="宋体" w:cs="宋体"/>
        </w:rPr>
      </w:pPr>
      <w:r>
        <w:rPr>
          <w:rFonts w:ascii="宋体" w:hAnsi="宋体" w:cs="宋体" w:hint="eastAsia"/>
        </w:rPr>
        <w:t>2、移动K值</w:t>
      </w:r>
    </w:p>
    <w:p w:rsidR="004165EC" w:rsidRDefault="00C97C8E">
      <w:pPr>
        <w:spacing w:line="360" w:lineRule="auto"/>
        <w:rPr>
          <w:rFonts w:ascii="宋体" w:hAnsi="宋体" w:cs="宋体"/>
        </w:rPr>
      </w:pPr>
      <w:r>
        <w:rPr>
          <w:rFonts w:ascii="宋体" w:hAnsi="宋体" w:cs="宋体" w:hint="eastAsia"/>
        </w:rPr>
        <w:t xml:space="preserve">    思想：移动均值是</w:t>
      </w:r>
      <w:proofErr w:type="gramStart"/>
      <w:r>
        <w:rPr>
          <w:rFonts w:ascii="宋体" w:hAnsi="宋体" w:cs="宋体" w:hint="eastAsia"/>
        </w:rPr>
        <w:t>求固定</w:t>
      </w:r>
      <w:proofErr w:type="gramEnd"/>
      <w:r>
        <w:rPr>
          <w:rFonts w:ascii="宋体" w:hAnsi="宋体" w:cs="宋体" w:hint="eastAsia"/>
        </w:rPr>
        <w:t>天数下的移动</w:t>
      </w:r>
    </w:p>
    <w:p w:rsidR="004165EC" w:rsidRDefault="00C97C8E">
      <w:pPr>
        <w:spacing w:line="360" w:lineRule="auto"/>
        <w:rPr>
          <w:rFonts w:ascii="宋体" w:hAnsi="宋体" w:cs="宋体"/>
        </w:rPr>
      </w:pPr>
      <w:r>
        <w:rPr>
          <w:rFonts w:ascii="宋体" w:hAnsi="宋体" w:cs="宋体" w:hint="eastAsia"/>
        </w:rPr>
        <w:t xml:space="preserve">    Cu5分钟价格走势</w:t>
      </w:r>
    </w:p>
    <w:p w:rsidR="004165EC" w:rsidRDefault="00C97C8E">
      <w:pPr>
        <w:spacing w:line="360" w:lineRule="auto"/>
        <w:rPr>
          <w:rFonts w:ascii="宋体" w:hAnsi="宋体" w:cs="宋体"/>
        </w:rPr>
      </w:pPr>
      <w:r>
        <w:rPr>
          <w:rFonts w:ascii="宋体" w:hAnsi="宋体" w:cs="宋体"/>
        </w:rPr>
        <w:lastRenderedPageBreak/>
        <w:pict>
          <v:shape id="_x0000_i1129" type="#_x0000_t75" style="width:415.5pt;height:312pt">
            <v:imagedata r:id="rId179" o:title=""/>
          </v:shape>
        </w:pict>
      </w:r>
      <w:r>
        <w:rPr>
          <w:rFonts w:ascii="宋体" w:hAnsi="宋体" w:cs="宋体" w:hint="eastAsia"/>
        </w:rPr>
        <w:t xml:space="preserve"> </w:t>
      </w:r>
    </w:p>
    <w:p w:rsidR="004165EC" w:rsidRDefault="00C97C8E">
      <w:pPr>
        <w:spacing w:line="360" w:lineRule="auto"/>
        <w:rPr>
          <w:rFonts w:ascii="宋体" w:hAnsi="宋体" w:cs="宋体"/>
        </w:rPr>
      </w:pPr>
      <w:r>
        <w:rPr>
          <w:rFonts w:ascii="宋体" w:hAnsi="宋体" w:cs="宋体" w:hint="eastAsia"/>
        </w:rPr>
        <w:t xml:space="preserve">     对数收益率走势图：</w:t>
      </w:r>
    </w:p>
    <w:p w:rsidR="004165EC" w:rsidRDefault="00C97C8E">
      <w:pPr>
        <w:spacing w:line="360" w:lineRule="auto"/>
        <w:rPr>
          <w:rFonts w:ascii="宋体" w:hAnsi="宋体" w:cs="宋体"/>
        </w:rPr>
      </w:pPr>
      <w:r>
        <w:rPr>
          <w:rFonts w:ascii="宋体" w:hAnsi="宋体" w:cs="宋体"/>
        </w:rPr>
        <w:pict>
          <v:shape id="_x0000_i1130" type="#_x0000_t75" style="width:415.5pt;height:227.25pt">
            <v:imagedata r:id="rId180" o:title=""/>
          </v:shape>
        </w:pict>
      </w:r>
    </w:p>
    <w:p w:rsidR="004165EC" w:rsidRDefault="00C97C8E">
      <w:pPr>
        <w:spacing w:line="360" w:lineRule="auto"/>
        <w:rPr>
          <w:rFonts w:ascii="宋体" w:hAnsi="宋体" w:cs="宋体"/>
        </w:rPr>
      </w:pPr>
      <w:r>
        <w:rPr>
          <w:rFonts w:ascii="宋体" w:hAnsi="宋体" w:cs="宋体" w:hint="eastAsia"/>
        </w:rPr>
        <w:t>在求k值的程序中：令n=2,则求出的数据：(p2-p1)/p1约=ln(p2)-ln(p1)</w:t>
      </w:r>
    </w:p>
    <w:p w:rsidR="004165EC" w:rsidRDefault="00C97C8E">
      <w:pPr>
        <w:spacing w:line="360" w:lineRule="auto"/>
        <w:rPr>
          <w:rFonts w:ascii="宋体" w:hAnsi="宋体" w:cs="宋体"/>
        </w:rPr>
      </w:pPr>
      <w:r>
        <w:rPr>
          <w:rFonts w:ascii="宋体" w:hAnsi="宋体" w:cs="宋体"/>
        </w:rPr>
        <w:lastRenderedPageBreak/>
        <w:pict>
          <v:shape id="_x0000_i1131" type="#_x0000_t75" style="width:415.5pt;height:226.5pt">
            <v:imagedata r:id="rId181" o:title=""/>
          </v:shape>
        </w:pict>
      </w:r>
    </w:p>
    <w:p w:rsidR="004165EC" w:rsidRDefault="00C97C8E">
      <w:pPr>
        <w:spacing w:line="360" w:lineRule="auto"/>
        <w:rPr>
          <w:rFonts w:ascii="宋体" w:hAnsi="宋体" w:cs="宋体"/>
        </w:rPr>
      </w:pPr>
      <w:r>
        <w:rPr>
          <w:rFonts w:ascii="宋体" w:hAnsi="宋体" w:cs="宋体" w:hint="eastAsia"/>
        </w:rPr>
        <w:t xml:space="preserve">    可以想象：K值与间隔收益率其实差不多。</w:t>
      </w:r>
    </w:p>
    <w:p w:rsidR="004165EC" w:rsidRDefault="00C97C8E">
      <w:pPr>
        <w:spacing w:line="360" w:lineRule="auto"/>
        <w:rPr>
          <w:rFonts w:ascii="宋体" w:hAnsi="宋体" w:cs="宋体"/>
        </w:rPr>
      </w:pPr>
      <w:r>
        <w:rPr>
          <w:rFonts w:ascii="宋体" w:hAnsi="宋体" w:cs="宋体"/>
        </w:rPr>
        <w:pict>
          <v:shape id="图片 5" o:spid="_x0000_s1173" type="#_x0000_t75" style="position:absolute;left:0;text-align:left;margin-left:84.75pt;margin-top:352.3pt;width:415.3pt;height:311.5pt;z-index:36;mso-position-horizontal-relative:page;mso-position-vertical-relative:page">
            <v:imagedata r:id="rId182" o:title=""/>
            <w10:wrap anchorx="page" anchory="page"/>
          </v:shape>
        </w:pict>
      </w:r>
      <w:r>
        <w:rPr>
          <w:rFonts w:ascii="宋体" w:hAnsi="宋体" w:cs="宋体" w:hint="eastAsia"/>
        </w:rPr>
        <w:t xml:space="preserve">    图：n=20 ,(p20-p1)/p1； </w:t>
      </w: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C97C8E">
      <w:pPr>
        <w:spacing w:line="360" w:lineRule="auto"/>
        <w:rPr>
          <w:rFonts w:ascii="宋体" w:hAnsi="宋体" w:cs="宋体"/>
        </w:rPr>
      </w:pPr>
      <w:r>
        <w:rPr>
          <w:rFonts w:ascii="宋体" w:hAnsi="宋体" w:cs="宋体" w:hint="eastAsia"/>
        </w:rPr>
        <w:t xml:space="preserve">     图：20天移动K值</w:t>
      </w:r>
    </w:p>
    <w:p w:rsidR="004165EC" w:rsidRDefault="00C97C8E">
      <w:pPr>
        <w:spacing w:line="360" w:lineRule="auto"/>
        <w:rPr>
          <w:rFonts w:ascii="宋体" w:hAnsi="宋体" w:cs="宋体"/>
        </w:rPr>
      </w:pPr>
      <w:r>
        <w:rPr>
          <w:rFonts w:ascii="宋体" w:hAnsi="宋体" w:cs="宋体"/>
        </w:rPr>
        <w:lastRenderedPageBreak/>
        <w:pict>
          <v:shape id="_x0000_i1132" type="#_x0000_t75" style="width:415.5pt;height:306.75pt">
            <v:imagedata r:id="rId183" o:title=""/>
          </v:shape>
        </w:pict>
      </w:r>
    </w:p>
    <w:p w:rsidR="004165EC" w:rsidRDefault="00C97C8E">
      <w:pPr>
        <w:spacing w:line="360" w:lineRule="auto"/>
        <w:rPr>
          <w:rFonts w:ascii="宋体" w:hAnsi="宋体" w:cs="宋体"/>
        </w:rPr>
      </w:pPr>
      <w:r>
        <w:rPr>
          <w:rFonts w:ascii="宋体" w:hAnsi="宋体" w:cs="宋体" w:hint="eastAsia"/>
        </w:rPr>
        <w:t xml:space="preserve">    蓝线为价格，绿线为移动K值。可见前一张图的绿线（20天的首尾收益率），与上图的绿线（20天数据的移动回归系数K值）有很强的走势相似性。</w:t>
      </w:r>
    </w:p>
    <w:p w:rsidR="004165EC" w:rsidRDefault="00C97C8E">
      <w:pPr>
        <w:spacing w:line="360" w:lineRule="auto"/>
        <w:rPr>
          <w:rFonts w:ascii="宋体" w:hAnsi="宋体" w:cs="宋体"/>
        </w:rPr>
      </w:pPr>
      <w:r>
        <w:rPr>
          <w:rFonts w:ascii="宋体" w:hAnsi="宋体" w:cs="宋体" w:hint="eastAsia"/>
        </w:rPr>
        <w:t xml:space="preserve">    K可以视为(Pj-Pi)/pi而(Pj-Pi)/pi其实就是收益率。</w:t>
      </w:r>
    </w:p>
    <w:p w:rsidR="004165EC" w:rsidRDefault="00C97C8E">
      <w:pPr>
        <w:spacing w:line="360" w:lineRule="auto"/>
        <w:rPr>
          <w:rFonts w:ascii="宋体" w:hAnsi="宋体" w:cs="宋体"/>
        </w:rPr>
      </w:pPr>
      <w:r>
        <w:rPr>
          <w:rFonts w:ascii="宋体" w:hAnsi="宋体" w:cs="宋体" w:hint="eastAsia"/>
        </w:rPr>
        <w:t>由于j和i可能间隔时间长，可以忽略</w:t>
      </w:r>
      <w:proofErr w:type="gramStart"/>
      <w:r>
        <w:rPr>
          <w:rFonts w:ascii="宋体" w:hAnsi="宋体" w:cs="宋体" w:hint="eastAsia"/>
        </w:rPr>
        <w:t>掉价格</w:t>
      </w:r>
      <w:proofErr w:type="gramEnd"/>
      <w:r>
        <w:rPr>
          <w:rFonts w:ascii="宋体" w:hAnsi="宋体" w:cs="宋体" w:hint="eastAsia"/>
        </w:rPr>
        <w:t>中间的变化，故有一定的模拟价格走势的能力。移动K的图与间隔收益率的图相似。也就是说：直线回归的办法其实就是考虑其收益率的变化。</w:t>
      </w:r>
    </w:p>
    <w:p w:rsidR="004165EC" w:rsidRDefault="00C97C8E">
      <w:pPr>
        <w:spacing w:line="360" w:lineRule="auto"/>
        <w:rPr>
          <w:rFonts w:ascii="宋体" w:hAnsi="宋体" w:cs="宋体"/>
        </w:rPr>
      </w:pPr>
      <w:r>
        <w:rPr>
          <w:rFonts w:ascii="宋体" w:hAnsi="宋体" w:cs="宋体" w:hint="eastAsia"/>
        </w:rPr>
        <w:t xml:space="preserve">    因此，舍弃移动K值。</w:t>
      </w:r>
    </w:p>
    <w:p w:rsidR="004165EC" w:rsidRDefault="00C97C8E">
      <w:pPr>
        <w:spacing w:line="360" w:lineRule="auto"/>
        <w:rPr>
          <w:rFonts w:ascii="宋体" w:hAnsi="宋体" w:cs="宋体"/>
        </w:rPr>
      </w:pPr>
      <w:r>
        <w:rPr>
          <w:rFonts w:ascii="宋体" w:hAnsi="宋体" w:cs="宋体" w:hint="eastAsia"/>
        </w:rPr>
        <w:t>3、移动均值，并找到趋势点：</w:t>
      </w:r>
    </w:p>
    <w:p w:rsidR="004165EC" w:rsidRDefault="00C97C8E">
      <w:pPr>
        <w:spacing w:line="360" w:lineRule="auto"/>
        <w:rPr>
          <w:rFonts w:ascii="宋体" w:hAnsi="宋体" w:cs="宋体"/>
        </w:rPr>
      </w:pPr>
      <w:r>
        <w:rPr>
          <w:rFonts w:ascii="宋体" w:hAnsi="宋体" w:cs="宋体" w:hint="eastAsia"/>
        </w:rPr>
        <w:t xml:space="preserve">    铜的</w:t>
      </w:r>
      <w:proofErr w:type="gramStart"/>
      <w:r>
        <w:rPr>
          <w:rFonts w:ascii="宋体" w:hAnsi="宋体" w:cs="宋体" w:hint="eastAsia"/>
        </w:rPr>
        <w:t>月数据</w:t>
      </w:r>
      <w:proofErr w:type="gramEnd"/>
      <w:r>
        <w:rPr>
          <w:rFonts w:ascii="宋体" w:hAnsi="宋体" w:cs="宋体" w:hint="eastAsia"/>
        </w:rPr>
        <w:t>macd线：</w:t>
      </w:r>
    </w:p>
    <w:p w:rsidR="004165EC" w:rsidRDefault="00C97C8E">
      <w:pPr>
        <w:spacing w:line="360" w:lineRule="auto"/>
        <w:rPr>
          <w:rFonts w:ascii="宋体" w:hAnsi="宋体" w:cs="宋体"/>
        </w:rPr>
      </w:pPr>
      <w:r>
        <w:rPr>
          <w:rFonts w:ascii="宋体" w:hAnsi="宋体" w:cs="宋体"/>
        </w:rPr>
        <w:lastRenderedPageBreak/>
        <w:pict>
          <v:shape id="_x0000_i1133" type="#_x0000_t75" style="width:415.5pt;height:225.75pt">
            <v:imagedata r:id="rId184" o:title=""/>
          </v:shape>
        </w:pict>
      </w:r>
    </w:p>
    <w:p w:rsidR="004165EC" w:rsidRDefault="00C97C8E">
      <w:pPr>
        <w:spacing w:line="360" w:lineRule="auto"/>
        <w:rPr>
          <w:rFonts w:ascii="宋体" w:hAnsi="宋体" w:cs="宋体"/>
        </w:rPr>
      </w:pPr>
      <w:r>
        <w:rPr>
          <w:rFonts w:ascii="宋体" w:hAnsi="宋体" w:cs="宋体" w:hint="eastAsia"/>
        </w:rPr>
        <w:t xml:space="preserve">    依据：大于0买入，小于0卖出，并且认为，连续出现10天买入机会就是一个确切的趋势。此时，可识别趋势：</w:t>
      </w:r>
    </w:p>
    <w:p w:rsidR="004165EC" w:rsidRDefault="00C97C8E">
      <w:pPr>
        <w:spacing w:line="360" w:lineRule="auto"/>
        <w:rPr>
          <w:rFonts w:ascii="宋体" w:hAnsi="宋体" w:cs="宋体"/>
        </w:rPr>
      </w:pPr>
      <w:r>
        <w:rPr>
          <w:rFonts w:ascii="宋体" w:hAnsi="宋体" w:cs="宋体"/>
        </w:rPr>
        <w:pict>
          <v:shape id="_x0000_i1134" type="#_x0000_t75" style="width:415.5pt;height:225.75pt">
            <v:imagedata r:id="rId185" o:title=""/>
          </v:shape>
        </w:pict>
      </w:r>
    </w:p>
    <w:p w:rsidR="004165EC" w:rsidRDefault="00C97C8E">
      <w:pPr>
        <w:spacing w:line="360" w:lineRule="auto"/>
        <w:rPr>
          <w:rFonts w:ascii="宋体" w:hAnsi="宋体" w:cs="宋体"/>
        </w:rPr>
      </w:pPr>
      <w:r>
        <w:rPr>
          <w:rFonts w:ascii="宋体" w:hAnsi="宋体" w:cs="宋体" w:hint="eastAsia"/>
        </w:rPr>
        <w:t xml:space="preserve">    可见，效果并不理想。原因：</w:t>
      </w:r>
    </w:p>
    <w:p w:rsidR="004165EC" w:rsidRDefault="00C97C8E">
      <w:pPr>
        <w:spacing w:line="360" w:lineRule="auto"/>
        <w:rPr>
          <w:rFonts w:ascii="宋体" w:hAnsi="宋体" w:cs="宋体"/>
        </w:rPr>
      </w:pPr>
      <w:r>
        <w:rPr>
          <w:rFonts w:ascii="宋体" w:hAnsi="宋体" w:cs="宋体" w:hint="eastAsia"/>
        </w:rPr>
        <w:t xml:space="preserve">   1、因为月结算价格并非交易者特别关注的一个价格，只是每天交易结算价的月末数据，不具有特殊性。</w:t>
      </w:r>
    </w:p>
    <w:p w:rsidR="004165EC" w:rsidRDefault="00C97C8E">
      <w:pPr>
        <w:spacing w:line="360" w:lineRule="auto"/>
        <w:rPr>
          <w:rFonts w:ascii="宋体" w:hAnsi="宋体" w:cs="宋体"/>
        </w:rPr>
      </w:pPr>
      <w:r>
        <w:rPr>
          <w:rFonts w:ascii="宋体" w:hAnsi="宋体" w:cs="宋体" w:hint="eastAsia"/>
        </w:rPr>
        <w:t xml:space="preserve">    2、时间间隔被月结算数据拉大以后交易价格点数较少，波动较大。</w:t>
      </w:r>
      <w:proofErr w:type="gramStart"/>
      <w:r>
        <w:rPr>
          <w:rFonts w:ascii="宋体" w:hAnsi="宋体" w:cs="宋体" w:hint="eastAsia"/>
        </w:rPr>
        <w:t>不宜用盈动</w:t>
      </w:r>
      <w:proofErr w:type="gramEnd"/>
      <w:r>
        <w:rPr>
          <w:rFonts w:ascii="宋体" w:hAnsi="宋体" w:cs="宋体" w:hint="eastAsia"/>
        </w:rPr>
        <w:t>平均线来追踪其趋势。</w:t>
      </w:r>
    </w:p>
    <w:p w:rsidR="004165EC" w:rsidRDefault="00C97C8E">
      <w:pPr>
        <w:spacing w:line="360" w:lineRule="auto"/>
        <w:rPr>
          <w:rFonts w:ascii="宋体" w:hAnsi="宋体" w:cs="宋体"/>
        </w:rPr>
      </w:pPr>
      <w:r>
        <w:rPr>
          <w:rFonts w:ascii="宋体" w:hAnsi="宋体" w:cs="宋体" w:hint="eastAsia"/>
        </w:rPr>
        <w:t xml:space="preserve">    结论：</w:t>
      </w:r>
    </w:p>
    <w:p w:rsidR="004165EC" w:rsidRDefault="00C97C8E">
      <w:pPr>
        <w:spacing w:line="360" w:lineRule="auto"/>
        <w:rPr>
          <w:rFonts w:ascii="宋体" w:hAnsi="宋体" w:cs="宋体"/>
        </w:rPr>
      </w:pPr>
      <w:r>
        <w:rPr>
          <w:rFonts w:ascii="宋体" w:hAnsi="宋体" w:cs="宋体" w:hint="eastAsia"/>
        </w:rPr>
        <w:t xml:space="preserve">    找到其中间隔的日数据，补充到大曲线中。再找趋势。</w:t>
      </w:r>
    </w:p>
    <w:p w:rsidR="004165EC" w:rsidRDefault="00C97C8E">
      <w:pPr>
        <w:spacing w:line="360" w:lineRule="auto"/>
        <w:rPr>
          <w:rFonts w:ascii="宋体" w:hAnsi="宋体" w:cs="宋体"/>
        </w:rPr>
      </w:pPr>
      <w:r>
        <w:rPr>
          <w:rFonts w:ascii="宋体" w:hAnsi="宋体" w:cs="宋体" w:hint="eastAsia"/>
        </w:rPr>
        <w:t xml:space="preserve">     </w:t>
      </w:r>
    </w:p>
    <w:p w:rsidR="004165EC" w:rsidRDefault="00C97C8E">
      <w:pPr>
        <w:spacing w:line="360" w:lineRule="auto"/>
        <w:rPr>
          <w:rFonts w:ascii="宋体" w:hAnsi="宋体" w:cs="宋体"/>
        </w:rPr>
      </w:pPr>
      <w:r>
        <w:rPr>
          <w:rFonts w:ascii="宋体" w:hAnsi="宋体" w:cs="宋体" w:hint="eastAsia"/>
        </w:rPr>
        <w:lastRenderedPageBreak/>
        <w:t>二、宏观分析：</w:t>
      </w:r>
    </w:p>
    <w:p w:rsidR="004165EC" w:rsidRDefault="00C97C8E">
      <w:pPr>
        <w:spacing w:line="360" w:lineRule="auto"/>
        <w:rPr>
          <w:rFonts w:ascii="宋体" w:hAnsi="宋体" w:cs="宋体"/>
        </w:rPr>
      </w:pPr>
      <w:r>
        <w:rPr>
          <w:rFonts w:ascii="宋体" w:hAnsi="宋体" w:cs="宋体" w:hint="eastAsia"/>
        </w:rPr>
        <w:t>１、持仓量分析</w:t>
      </w:r>
    </w:p>
    <w:p w:rsidR="004165EC" w:rsidRDefault="00C97C8E">
      <w:pPr>
        <w:spacing w:line="360" w:lineRule="auto"/>
        <w:rPr>
          <w:rFonts w:ascii="宋体" w:hAnsi="宋体" w:cs="宋体"/>
        </w:rPr>
      </w:pPr>
      <w:r>
        <w:rPr>
          <w:rFonts w:ascii="宋体" w:hAnsi="宋体" w:cs="宋体" w:hint="eastAsia"/>
        </w:rPr>
        <w:t xml:space="preserve">    这个并不算宏观分析，但是分析方法与持仓量相同：</w:t>
      </w:r>
    </w:p>
    <w:p w:rsidR="004165EC" w:rsidRDefault="00C97C8E">
      <w:pPr>
        <w:spacing w:line="360" w:lineRule="auto"/>
        <w:rPr>
          <w:rFonts w:ascii="宋体" w:hAnsi="宋体" w:cs="宋体"/>
        </w:rPr>
      </w:pPr>
      <w:r>
        <w:rPr>
          <w:rFonts w:ascii="宋体" w:hAnsi="宋体" w:cs="宋体" w:hint="eastAsia"/>
        </w:rPr>
        <w:t xml:space="preserve">    铜的每日持仓量（1995-2014）</w:t>
      </w:r>
    </w:p>
    <w:p w:rsidR="004165EC" w:rsidRDefault="00C97C8E">
      <w:pPr>
        <w:spacing w:line="360" w:lineRule="auto"/>
        <w:rPr>
          <w:rFonts w:ascii="宋体" w:hAnsi="宋体" w:cs="宋体"/>
        </w:rPr>
      </w:pPr>
      <w:r>
        <w:rPr>
          <w:rFonts w:ascii="宋体" w:hAnsi="宋体" w:cs="宋体" w:hint="eastAsia"/>
        </w:rPr>
        <w:t xml:space="preserve">    20年，20个倒U型曲线。如果能分析只有拿出一个倒U型分析</w:t>
      </w:r>
    </w:p>
    <w:p w:rsidR="004165EC" w:rsidRDefault="00C97C8E">
      <w:pPr>
        <w:spacing w:line="360" w:lineRule="auto"/>
        <w:rPr>
          <w:rFonts w:ascii="宋体" w:hAnsi="宋体" w:cs="宋体"/>
        </w:rPr>
      </w:pPr>
      <w:r>
        <w:rPr>
          <w:rFonts w:ascii="宋体" w:hAnsi="宋体" w:cs="宋体"/>
        </w:rPr>
        <w:pict>
          <v:shape id="_x0000_i1135" type="#_x0000_t75" style="width:415.5pt;height:225.75pt">
            <v:imagedata r:id="rId186" o:title=""/>
          </v:shape>
        </w:pict>
      </w:r>
    </w:p>
    <w:p w:rsidR="004165EC" w:rsidRDefault="00C97C8E">
      <w:pPr>
        <w:spacing w:line="360" w:lineRule="auto"/>
        <w:rPr>
          <w:rFonts w:ascii="宋体" w:hAnsi="宋体" w:cs="宋体"/>
        </w:rPr>
      </w:pPr>
      <w:r>
        <w:rPr>
          <w:rFonts w:ascii="宋体" w:hAnsi="宋体" w:cs="宋体" w:hint="eastAsia"/>
        </w:rPr>
        <w:t xml:space="preserve">     2013-14铜01合约拟合</w:t>
      </w:r>
    </w:p>
    <w:p w:rsidR="004165EC" w:rsidRDefault="00C97C8E">
      <w:pPr>
        <w:spacing w:line="360" w:lineRule="auto"/>
        <w:rPr>
          <w:rFonts w:ascii="宋体" w:hAnsi="宋体" w:cs="宋体"/>
        </w:rPr>
      </w:pPr>
      <w:r>
        <w:rPr>
          <w:rFonts w:ascii="宋体" w:hAnsi="宋体" w:cs="宋体"/>
        </w:rPr>
        <w:pict>
          <v:shape id="_x0000_i1136" type="#_x0000_t75" style="width:415.5pt;height:307.5pt">
            <v:imagedata r:id="rId187" o:title=""/>
          </v:shape>
        </w:pict>
      </w:r>
    </w:p>
    <w:p w:rsidR="004165EC" w:rsidRDefault="00C97C8E">
      <w:pPr>
        <w:spacing w:line="360" w:lineRule="auto"/>
        <w:rPr>
          <w:rFonts w:ascii="宋体" w:hAnsi="宋体" w:cs="宋体"/>
        </w:rPr>
      </w:pPr>
      <w:r>
        <w:rPr>
          <w:rFonts w:ascii="宋体" w:hAnsi="宋体" w:cs="宋体"/>
        </w:rPr>
        <w:lastRenderedPageBreak/>
        <w:pict>
          <v:shape id="_x0000_i1137" type="#_x0000_t75" style="width:415.5pt;height:312pt">
            <v:imagedata r:id="rId188" o:title=""/>
          </v:shape>
        </w:pict>
      </w:r>
    </w:p>
    <w:p w:rsidR="004165EC" w:rsidRDefault="00C97C8E">
      <w:pPr>
        <w:spacing w:line="360" w:lineRule="auto"/>
        <w:rPr>
          <w:rFonts w:ascii="宋体" w:hAnsi="宋体" w:cs="宋体"/>
        </w:rPr>
      </w:pPr>
      <w:r>
        <w:rPr>
          <w:rFonts w:ascii="宋体" w:hAnsi="宋体" w:cs="宋体" w:hint="eastAsia"/>
        </w:rPr>
        <w:t>将价格与离差在一个图里绘制（ｘ，ｙ），观察回归关系</w:t>
      </w:r>
    </w:p>
    <w:p w:rsidR="004165EC" w:rsidRDefault="00C97C8E">
      <w:pPr>
        <w:spacing w:line="360" w:lineRule="auto"/>
        <w:rPr>
          <w:rFonts w:ascii="宋体" w:hAnsi="宋体" w:cs="宋体"/>
        </w:rPr>
      </w:pPr>
      <w:r>
        <w:rPr>
          <w:rFonts w:ascii="宋体" w:hAnsi="宋体" w:cs="宋体" w:hint="eastAsia"/>
        </w:rPr>
        <w:t>价格走势图及离差（ｄｅｌｔａ）走势：</w:t>
      </w:r>
    </w:p>
    <w:p w:rsidR="004165EC" w:rsidRDefault="00C97C8E">
      <w:pPr>
        <w:spacing w:line="360" w:lineRule="auto"/>
        <w:rPr>
          <w:rFonts w:ascii="宋体" w:hAnsi="宋体" w:cs="宋体"/>
        </w:rPr>
      </w:pPr>
      <w:r>
        <w:rPr>
          <w:rFonts w:ascii="宋体" w:hAnsi="宋体" w:cs="宋体"/>
        </w:rPr>
        <w:pict>
          <v:shape id="_x0000_i1138" type="#_x0000_t75" style="width:415.5pt;height:312pt">
            <v:imagedata r:id="rId189" o:title=""/>
          </v:shape>
        </w:pict>
      </w:r>
    </w:p>
    <w:p w:rsidR="004165EC" w:rsidRDefault="00C97C8E">
      <w:pPr>
        <w:spacing w:line="360" w:lineRule="auto"/>
        <w:rPr>
          <w:rFonts w:ascii="宋体" w:hAnsi="宋体" w:cs="宋体"/>
        </w:rPr>
      </w:pPr>
      <w:r>
        <w:rPr>
          <w:rFonts w:ascii="宋体" w:hAnsi="宋体" w:cs="宋体" w:hint="eastAsia"/>
        </w:rPr>
        <w:t xml:space="preserve">    可见此时，delta与价格无关。</w:t>
      </w:r>
    </w:p>
    <w:p w:rsidR="004165EC" w:rsidRDefault="00C97C8E">
      <w:pPr>
        <w:spacing w:line="360" w:lineRule="auto"/>
        <w:rPr>
          <w:rFonts w:ascii="宋体" w:hAnsi="宋体" w:cs="宋体"/>
        </w:rPr>
      </w:pPr>
      <w:r>
        <w:rPr>
          <w:rFonts w:ascii="宋体" w:hAnsi="宋体" w:cs="宋体" w:hint="eastAsia"/>
        </w:rPr>
        <w:lastRenderedPageBreak/>
        <w:t xml:space="preserve">     推测：</w:t>
      </w:r>
    </w:p>
    <w:p w:rsidR="004165EC" w:rsidRDefault="00C97C8E">
      <w:pPr>
        <w:spacing w:line="360" w:lineRule="auto"/>
        <w:rPr>
          <w:rFonts w:ascii="宋体" w:hAnsi="宋体" w:cs="宋体"/>
        </w:rPr>
      </w:pPr>
      <w:r>
        <w:rPr>
          <w:rFonts w:ascii="宋体" w:hAnsi="宋体" w:cs="宋体" w:hint="eastAsia"/>
        </w:rPr>
        <w:t xml:space="preserve">     1、由于价格受主力合约的影响，所以尾部交易量较小，与价格波动没有关系。故：取持仓量90%以上的时间内的交易数据试图证明：价格急剧变化的时刻会有持仓量的变化。使用简单二次函数拟合，较不精确。</w:t>
      </w:r>
    </w:p>
    <w:p w:rsidR="004165EC" w:rsidRDefault="00C97C8E">
      <w:pPr>
        <w:spacing w:line="360" w:lineRule="auto"/>
        <w:rPr>
          <w:rFonts w:ascii="宋体" w:hAnsi="宋体" w:cs="宋体"/>
        </w:rPr>
      </w:pPr>
      <w:r>
        <w:rPr>
          <w:rFonts w:ascii="宋体" w:hAnsi="宋体" w:cs="宋体" w:hint="eastAsia"/>
        </w:rPr>
        <w:t xml:space="preserve">     90%持仓量下的拟合图，价格（ｐ）～（ｐ－ｐｈａｔ）离差散点图，（９０％持仓的）价格曲线图，（ｐ－ｐｈａｔ）离差曲线图</w:t>
      </w:r>
    </w:p>
    <w:p w:rsidR="004165EC" w:rsidRDefault="00C97C8E">
      <w:pPr>
        <w:spacing w:line="360" w:lineRule="auto"/>
        <w:rPr>
          <w:rFonts w:ascii="宋体" w:hAnsi="宋体" w:cs="宋体"/>
        </w:rPr>
      </w:pPr>
      <w:r>
        <w:rPr>
          <w:rFonts w:ascii="宋体" w:hAnsi="宋体" w:cs="宋体"/>
        </w:rPr>
        <w:pict>
          <v:shape id="图片 19" o:spid="_x0000_i1139" type="#_x0000_t75" style="width:415.5pt;height:312pt">
            <v:imagedata r:id="rId190" o:title=""/>
          </v:shape>
        </w:pict>
      </w:r>
    </w:p>
    <w:p w:rsidR="004165EC" w:rsidRDefault="00C97C8E">
      <w:pPr>
        <w:spacing w:line="360" w:lineRule="auto"/>
        <w:rPr>
          <w:rFonts w:ascii="宋体" w:hAnsi="宋体" w:cs="宋体"/>
        </w:rPr>
      </w:pPr>
      <w:r>
        <w:rPr>
          <w:rFonts w:ascii="宋体" w:hAnsi="宋体" w:cs="宋体"/>
        </w:rPr>
        <w:lastRenderedPageBreak/>
        <w:pict>
          <v:shape id="_x0000_i1140" type="#_x0000_t75" style="width:415.5pt;height:312pt">
            <v:imagedata r:id="rId191" o:title=""/>
          </v:shape>
        </w:pict>
      </w:r>
    </w:p>
    <w:p w:rsidR="004165EC" w:rsidRDefault="00C97C8E">
      <w:pPr>
        <w:spacing w:line="360" w:lineRule="auto"/>
        <w:rPr>
          <w:rFonts w:ascii="宋体" w:hAnsi="宋体" w:cs="宋体"/>
        </w:rPr>
      </w:pPr>
      <w:r>
        <w:rPr>
          <w:rFonts w:ascii="宋体" w:hAnsi="宋体" w:cs="宋体" w:hint="eastAsia"/>
        </w:rPr>
        <w:t xml:space="preserve">     使用更精确的拟合Fourier（解释力９８％）</w:t>
      </w:r>
    </w:p>
    <w:p w:rsidR="004165EC" w:rsidRDefault="00C97C8E">
      <w:pPr>
        <w:spacing w:line="360" w:lineRule="auto"/>
        <w:rPr>
          <w:rFonts w:ascii="宋体" w:hAnsi="宋体" w:cs="宋体"/>
        </w:rPr>
      </w:pPr>
      <w:r>
        <w:rPr>
          <w:rFonts w:ascii="宋体" w:hAnsi="宋体" w:cs="宋体"/>
        </w:rPr>
        <w:pict>
          <v:shape id="图片 21" o:spid="_x0000_i1141" type="#_x0000_t75" style="width:415.5pt;height:312pt">
            <v:imagedata r:id="rId192" o:title=""/>
          </v:shape>
        </w:pict>
      </w:r>
    </w:p>
    <w:p w:rsidR="004165EC" w:rsidRDefault="00C97C8E">
      <w:pPr>
        <w:spacing w:line="360" w:lineRule="auto"/>
        <w:rPr>
          <w:rFonts w:ascii="宋体" w:hAnsi="宋体" w:cs="宋体"/>
        </w:rPr>
      </w:pPr>
      <w:r>
        <w:rPr>
          <w:rFonts w:ascii="宋体" w:hAnsi="宋体" w:cs="宋体"/>
        </w:rPr>
        <w:lastRenderedPageBreak/>
        <w:pict>
          <v:shape id="_x0000_i1142" type="#_x0000_t75" style="width:415.5pt;height:312pt">
            <v:imagedata r:id="rId193" o:title=""/>
          </v:shape>
        </w:pict>
      </w:r>
    </w:p>
    <w:p w:rsidR="004165EC" w:rsidRDefault="00C97C8E">
      <w:pPr>
        <w:spacing w:line="360" w:lineRule="auto"/>
        <w:ind w:firstLineChars="200" w:firstLine="420"/>
        <w:rPr>
          <w:rFonts w:ascii="宋体" w:hAnsi="宋体" w:cs="宋体"/>
        </w:rPr>
      </w:pPr>
      <w:r>
        <w:rPr>
          <w:rFonts w:ascii="宋体" w:hAnsi="宋体" w:cs="宋体" w:hint="eastAsia"/>
        </w:rPr>
        <w:t>可见：精确拟合并没有优势。</w:t>
      </w:r>
    </w:p>
    <w:p w:rsidR="004165EC" w:rsidRDefault="00C97C8E">
      <w:pPr>
        <w:spacing w:line="360" w:lineRule="auto"/>
        <w:ind w:firstLineChars="200" w:firstLine="420"/>
        <w:rPr>
          <w:rFonts w:ascii="宋体" w:hAnsi="宋体" w:cs="宋体"/>
        </w:rPr>
      </w:pPr>
      <w:r>
        <w:rPr>
          <w:rFonts w:ascii="宋体" w:hAnsi="宋体" w:cs="宋体"/>
        </w:rPr>
        <w:pict>
          <v:shape id="图片 23" o:spid="_x0000_s1185" type="#_x0000_t75" style="position:absolute;left:0;text-align:left;margin-left:95.25pt;margin-top:467.85pt;width:415.3pt;height:311.65pt;z-index:37;mso-position-horizontal-relative:page;mso-position-vertical-relative:page">
            <v:imagedata r:id="rId194" o:title=""/>
            <w10:wrap anchorx="page" anchory="page"/>
          </v:shape>
        </w:pict>
      </w:r>
      <w:r>
        <w:rPr>
          <w:rFonts w:ascii="宋体" w:hAnsi="宋体" w:cs="宋体" w:hint="eastAsia"/>
        </w:rPr>
        <w:t>改进：1、先找到趋势点。大家一定会在该点买入。故交易量必须增加。同理：找到关键点处有没有回归关系。趋势买入点与持仓量离差（ｐ－ｐｈａｔ）趋势之间有关系：买入点价格走势图和买入点离差走势图如下：</w:t>
      </w: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C97C8E">
      <w:pPr>
        <w:spacing w:line="360" w:lineRule="auto"/>
        <w:rPr>
          <w:rFonts w:ascii="宋体" w:hAnsi="宋体" w:cs="宋体"/>
        </w:rPr>
      </w:pPr>
      <w:r>
        <w:rPr>
          <w:rFonts w:ascii="宋体" w:hAnsi="宋体" w:cs="宋体" w:hint="eastAsia"/>
        </w:rPr>
        <w:lastRenderedPageBreak/>
        <w:t xml:space="preserve">    结论：</w:t>
      </w:r>
    </w:p>
    <w:p w:rsidR="004165EC" w:rsidRDefault="00C97C8E">
      <w:pPr>
        <w:spacing w:line="360" w:lineRule="auto"/>
        <w:rPr>
          <w:rFonts w:ascii="宋体" w:hAnsi="宋体" w:cs="宋体"/>
        </w:rPr>
      </w:pPr>
      <w:r>
        <w:rPr>
          <w:rFonts w:ascii="宋体" w:hAnsi="宋体" w:cs="宋体" w:hint="eastAsia"/>
        </w:rPr>
        <w:t xml:space="preserve">    当买入点出现，且delta值小于零时，即使持有并错过卖出点，在下一个买入点时价格依然比买入价高，也就是说，delta小于0（过低持仓）时是一个长期买入点。而delta大于0（过高持仓）时即使有买入机会也应该短期买入迅速平仓。卖出点，同理，反之。</w:t>
      </w:r>
    </w:p>
    <w:p w:rsidR="004165EC" w:rsidRDefault="00C97C8E">
      <w:pPr>
        <w:spacing w:line="360" w:lineRule="auto"/>
        <w:rPr>
          <w:rFonts w:ascii="宋体" w:hAnsi="宋体" w:cs="宋体"/>
        </w:rPr>
      </w:pPr>
      <w:r>
        <w:rPr>
          <w:rFonts w:ascii="宋体" w:hAnsi="宋体" w:cs="宋体" w:hint="eastAsia"/>
        </w:rPr>
        <w:t xml:space="preserve">    二次多项式：</w:t>
      </w:r>
    </w:p>
    <w:p w:rsidR="004165EC" w:rsidRDefault="00C97C8E">
      <w:pPr>
        <w:spacing w:line="360" w:lineRule="auto"/>
        <w:rPr>
          <w:rFonts w:ascii="宋体" w:hAnsi="宋体" w:cs="宋体"/>
        </w:rPr>
      </w:pPr>
      <w:r>
        <w:rPr>
          <w:rFonts w:ascii="宋体" w:hAnsi="宋体" w:cs="宋体" w:hint="eastAsia"/>
        </w:rPr>
        <w:t xml:space="preserve">    3天及5天移动平均。连续3天认为有趋势。</w:t>
      </w:r>
    </w:p>
    <w:p w:rsidR="004165EC" w:rsidRDefault="00C97C8E">
      <w:pPr>
        <w:spacing w:line="360" w:lineRule="auto"/>
        <w:rPr>
          <w:rFonts w:ascii="宋体" w:hAnsi="宋体" w:cs="宋体"/>
        </w:rPr>
      </w:pPr>
      <w:r>
        <w:rPr>
          <w:rFonts w:ascii="宋体" w:hAnsi="宋体" w:cs="宋体" w:hint="eastAsia"/>
        </w:rPr>
        <w:t xml:space="preserve">    上下：趋势点价格~离差。（b,s,b&amp;s,b&amp;s&amp;be&amp;se）试图找到这些关键点处的回归关系。</w:t>
      </w:r>
    </w:p>
    <w:p w:rsidR="004165EC" w:rsidRDefault="00C97C8E">
      <w:pPr>
        <w:spacing w:line="360" w:lineRule="auto"/>
        <w:rPr>
          <w:rFonts w:ascii="宋体" w:hAnsi="宋体" w:cs="宋体"/>
        </w:rPr>
      </w:pPr>
      <w:r>
        <w:rPr>
          <w:rFonts w:ascii="宋体" w:hAnsi="宋体" w:cs="宋体" w:hint="eastAsia"/>
        </w:rPr>
        <w:t xml:space="preserve">    买入点，即上升趋势的起点，卖出点，即下降趋势的起点。</w:t>
      </w:r>
    </w:p>
    <w:p w:rsidR="004165EC" w:rsidRDefault="00C97C8E">
      <w:pPr>
        <w:spacing w:line="360" w:lineRule="auto"/>
        <w:rPr>
          <w:rFonts w:ascii="宋体" w:hAnsi="宋体" w:cs="宋体"/>
        </w:rPr>
      </w:pPr>
      <w:r>
        <w:rPr>
          <w:rFonts w:ascii="宋体" w:hAnsi="宋体" w:cs="宋体"/>
        </w:rPr>
        <w:pict>
          <v:shape id="图片 24" o:spid="_x0000_s1186" type="#_x0000_t75" style="position:absolute;left:0;text-align:left;margin-left:88.5pt;margin-top:302.05pt;width:415.3pt;height:312.05pt;z-index:38;mso-position-horizontal-relative:page;mso-position-vertical-relative:page">
            <v:imagedata r:id="rId195" o:title=""/>
            <w10:wrap anchorx="page" anchory="page"/>
          </v:shape>
        </w:pict>
      </w:r>
      <w:r>
        <w:rPr>
          <w:rFonts w:ascii="宋体" w:hAnsi="宋体" w:cs="宋体" w:hint="eastAsia"/>
        </w:rPr>
        <w:t xml:space="preserve">    买入点价格、买入点离差；卖出点价格、卖出点离差；趋势起点价格，趋势起点离差；趋势始末点价格，始末点离差，如下图所示：</w:t>
      </w: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C97C8E">
      <w:pPr>
        <w:spacing w:line="360" w:lineRule="auto"/>
        <w:rPr>
          <w:rFonts w:ascii="宋体" w:hAnsi="宋体" w:cs="宋体"/>
        </w:rPr>
      </w:pPr>
      <w:r>
        <w:rPr>
          <w:rFonts w:ascii="宋体" w:hAnsi="宋体" w:cs="宋体"/>
        </w:rPr>
        <w:lastRenderedPageBreak/>
        <w:pict>
          <v:shape id="图片 25" o:spid="_x0000_s1187" type="#_x0000_t75" style="position:absolute;left:0;text-align:left;margin-left:100.5pt;margin-top:46.8pt;width:415.3pt;height:311.65pt;z-index:39;mso-position-horizontal-relative:page;mso-position-vertical-relative:page">
            <v:imagedata r:id="rId196" o:title=""/>
            <w10:wrap anchorx="page" anchory="page"/>
          </v:shape>
        </w:pict>
      </w: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4165EC">
      <w:pPr>
        <w:spacing w:line="360" w:lineRule="auto"/>
        <w:rPr>
          <w:rFonts w:ascii="宋体" w:hAnsi="宋体" w:cs="宋体"/>
        </w:rPr>
      </w:pPr>
    </w:p>
    <w:p w:rsidR="004165EC" w:rsidRDefault="00C97C8E">
      <w:pPr>
        <w:spacing w:line="360" w:lineRule="auto"/>
        <w:rPr>
          <w:rFonts w:ascii="宋体" w:hAnsi="宋体" w:cs="宋体"/>
        </w:rPr>
      </w:pPr>
      <w:r>
        <w:rPr>
          <w:rFonts w:ascii="宋体" w:hAnsi="宋体" w:cs="宋体" w:hint="eastAsia"/>
        </w:rPr>
        <w:t xml:space="preserve">    其实，更应该考虑趋势内的delta的变化，这才符合人们连续分析的实际情况。（人们并不知道下一个趋势什么时候开始，这一个什么时候结束）买入、卖出趋势内，P~delat</w:t>
      </w:r>
    </w:p>
    <w:p w:rsidR="004165EC" w:rsidRDefault="00C97C8E">
      <w:pPr>
        <w:spacing w:line="360" w:lineRule="auto"/>
        <w:rPr>
          <w:rFonts w:ascii="宋体" w:hAnsi="宋体" w:cs="宋体"/>
        </w:rPr>
      </w:pPr>
      <w:r>
        <w:rPr>
          <w:rFonts w:ascii="宋体" w:hAnsi="宋体" w:cs="宋体"/>
        </w:rPr>
        <w:pict>
          <v:shape id="图片 26" o:spid="_x0000_i1143" type="#_x0000_t75" style="width:415.5pt;height:225.75pt">
            <v:imagedata r:id="rId197" o:title=""/>
          </v:shape>
        </w:pict>
      </w:r>
    </w:p>
    <w:p w:rsidR="004165EC" w:rsidRDefault="00C97C8E">
      <w:pPr>
        <w:spacing w:line="360" w:lineRule="auto"/>
        <w:rPr>
          <w:rFonts w:ascii="宋体" w:hAnsi="宋体" w:cs="宋体"/>
        </w:rPr>
      </w:pPr>
      <w:r>
        <w:rPr>
          <w:rFonts w:ascii="宋体" w:hAnsi="宋体" w:cs="宋体" w:hint="eastAsia"/>
        </w:rPr>
        <w:t xml:space="preserve">    结论：</w:t>
      </w:r>
    </w:p>
    <w:p w:rsidR="004165EC" w:rsidRDefault="00C97C8E">
      <w:pPr>
        <w:spacing w:line="360" w:lineRule="auto"/>
        <w:rPr>
          <w:rFonts w:ascii="宋体" w:hAnsi="宋体" w:cs="宋体"/>
        </w:rPr>
      </w:pPr>
      <w:r>
        <w:rPr>
          <w:rFonts w:ascii="宋体" w:hAnsi="宋体" w:cs="宋体" w:hint="eastAsia"/>
        </w:rPr>
        <w:t xml:space="preserve">    p↓趋势明显，po↓-pohat=delta↓</w:t>
      </w:r>
    </w:p>
    <w:p w:rsidR="004165EC" w:rsidRDefault="00C97C8E">
      <w:pPr>
        <w:spacing w:line="360" w:lineRule="auto"/>
        <w:rPr>
          <w:rFonts w:ascii="宋体" w:hAnsi="宋体" w:cs="宋体"/>
        </w:rPr>
      </w:pPr>
      <w:r>
        <w:rPr>
          <w:rFonts w:ascii="宋体" w:hAnsi="宋体" w:cs="宋体" w:hint="eastAsia"/>
        </w:rPr>
        <w:t xml:space="preserve">    p↑趋势明显，po↑-pohat=delta↑</w:t>
      </w:r>
    </w:p>
    <w:p w:rsidR="004165EC" w:rsidRDefault="00C97C8E">
      <w:pPr>
        <w:spacing w:line="360" w:lineRule="auto"/>
        <w:rPr>
          <w:rFonts w:ascii="宋体" w:hAnsi="宋体" w:cs="宋体"/>
        </w:rPr>
      </w:pPr>
      <w:r>
        <w:rPr>
          <w:rFonts w:ascii="宋体" w:hAnsi="宋体" w:cs="宋体" w:hint="eastAsia"/>
        </w:rPr>
        <w:t xml:space="preserve">    图中5段趋势中有3段支持，其他2段可能是交易者过于谨慎，不认为趋势明显。也有一种说法："涨的慢，跌得快。投资者对下跌敏感而对上涨不敏感。"刚好在此处得以印证。</w:t>
      </w:r>
    </w:p>
    <w:p w:rsidR="004165EC" w:rsidRDefault="00C97C8E">
      <w:pPr>
        <w:spacing w:line="360" w:lineRule="auto"/>
        <w:rPr>
          <w:rFonts w:ascii="宋体" w:hAnsi="宋体" w:cs="宋体"/>
        </w:rPr>
      </w:pPr>
      <w:r>
        <w:rPr>
          <w:rFonts w:ascii="宋体" w:hAnsi="宋体" w:cs="宋体" w:hint="eastAsia"/>
        </w:rPr>
        <w:t>推测：n更大时，趋势更明显，</w:t>
      </w:r>
      <w:proofErr w:type="gramStart"/>
      <w:r>
        <w:rPr>
          <w:rFonts w:ascii="宋体" w:hAnsi="宋体" w:cs="宋体" w:hint="eastAsia"/>
        </w:rPr>
        <w:t>该关系</w:t>
      </w:r>
      <w:proofErr w:type="gramEnd"/>
      <w:r>
        <w:rPr>
          <w:rFonts w:ascii="宋体" w:hAnsi="宋体" w:cs="宋体" w:hint="eastAsia"/>
        </w:rPr>
        <w:t>成立。更严格得识别趋势（或者说，只识别大趋势）</w:t>
      </w:r>
      <w:r>
        <w:rPr>
          <w:rFonts w:ascii="宋体" w:hAnsi="宋体" w:cs="宋体" w:hint="eastAsia"/>
        </w:rPr>
        <w:lastRenderedPageBreak/>
        <w:t>n=7；8</w:t>
      </w:r>
    </w:p>
    <w:p w:rsidR="004165EC" w:rsidRDefault="00C97C8E">
      <w:pPr>
        <w:spacing w:line="360" w:lineRule="auto"/>
        <w:rPr>
          <w:rFonts w:ascii="宋体" w:hAnsi="宋体" w:cs="宋体"/>
        </w:rPr>
      </w:pPr>
      <w:r>
        <w:rPr>
          <w:rFonts w:ascii="宋体" w:hAnsi="宋体" w:cs="宋体"/>
        </w:rPr>
        <w:pict>
          <v:shape id="图片 27" o:spid="_x0000_i1144" type="#_x0000_t75" style="width:415.5pt;height:312pt">
            <v:imagedata r:id="rId198" o:title=""/>
          </v:shape>
        </w:pict>
      </w:r>
    </w:p>
    <w:p w:rsidR="004165EC" w:rsidRDefault="00C97C8E">
      <w:pPr>
        <w:spacing w:line="360" w:lineRule="auto"/>
        <w:rPr>
          <w:rFonts w:ascii="宋体" w:hAnsi="宋体" w:cs="宋体"/>
        </w:rPr>
      </w:pPr>
      <w:r>
        <w:rPr>
          <w:rFonts w:ascii="宋体" w:hAnsi="宋体" w:cs="宋体"/>
        </w:rPr>
        <w:pict>
          <v:shape id="图片 28" o:spid="_x0000_i1145" type="#_x0000_t75" style="width:415.5pt;height:312pt">
            <v:imagedata r:id="rId199" o:title=""/>
          </v:shape>
        </w:pict>
      </w:r>
    </w:p>
    <w:p w:rsidR="004165EC" w:rsidRDefault="00C97C8E">
      <w:pPr>
        <w:spacing w:line="360" w:lineRule="auto"/>
        <w:rPr>
          <w:rFonts w:ascii="宋体" w:hAnsi="宋体" w:cs="宋体"/>
        </w:rPr>
      </w:pPr>
      <w:r>
        <w:rPr>
          <w:rFonts w:ascii="宋体" w:hAnsi="宋体" w:cs="宋体" w:hint="eastAsia"/>
        </w:rPr>
        <w:t xml:space="preserve">    建议</w:t>
      </w:r>
    </w:p>
    <w:p w:rsidR="004165EC" w:rsidRDefault="00C97C8E">
      <w:pPr>
        <w:spacing w:line="360" w:lineRule="auto"/>
        <w:ind w:firstLineChars="200" w:firstLine="420"/>
        <w:rPr>
          <w:rFonts w:ascii="宋体" w:hAnsi="宋体" w:cs="宋体"/>
        </w:rPr>
      </w:pPr>
      <w:r>
        <w:rPr>
          <w:rFonts w:ascii="宋体" w:hAnsi="宋体" w:cs="宋体" w:hint="eastAsia"/>
        </w:rPr>
        <w:t>首先做出回归估计pohat,时时计算delta。</w:t>
      </w:r>
    </w:p>
    <w:p w:rsidR="004165EC" w:rsidRDefault="00C97C8E">
      <w:pPr>
        <w:spacing w:line="360" w:lineRule="auto"/>
        <w:ind w:firstLineChars="200" w:firstLine="420"/>
        <w:rPr>
          <w:rFonts w:ascii="宋体" w:hAnsi="宋体" w:cs="宋体"/>
        </w:rPr>
      </w:pPr>
      <w:r>
        <w:rPr>
          <w:rFonts w:ascii="宋体" w:hAnsi="宋体" w:cs="宋体" w:hint="eastAsia"/>
        </w:rPr>
        <w:lastRenderedPageBreak/>
        <w:t>卖出机会（移动平均法）出现时，只要delta也在减小应立即卖出，否则可认为时短期波动，忽略不计。</w:t>
      </w:r>
    </w:p>
    <w:p w:rsidR="004165EC" w:rsidRDefault="00C97C8E">
      <w:pPr>
        <w:spacing w:line="360" w:lineRule="auto"/>
        <w:ind w:firstLineChars="200" w:firstLine="420"/>
        <w:rPr>
          <w:rFonts w:ascii="宋体" w:hAnsi="宋体" w:cs="宋体"/>
        </w:rPr>
      </w:pPr>
      <w:r>
        <w:rPr>
          <w:rFonts w:ascii="宋体" w:hAnsi="宋体" w:cs="宋体" w:hint="eastAsia"/>
        </w:rPr>
        <w:t>买入机会（移动平均法）出现时，如果delta也在增加可以认为是一个较长的买入时机。而delta并没有增加反而下降。价格也可能增加，但不会持续。且此时delta走势与价格单调性相反。</w:t>
      </w:r>
    </w:p>
    <w:p w:rsidR="004165EC" w:rsidRDefault="00C97C8E">
      <w:pPr>
        <w:spacing w:line="360" w:lineRule="auto"/>
        <w:rPr>
          <w:rFonts w:ascii="宋体" w:hAnsi="宋体" w:cs="宋体"/>
        </w:rPr>
      </w:pPr>
      <w:r>
        <w:rPr>
          <w:rFonts w:ascii="宋体" w:hAnsi="宋体" w:cs="宋体" w:hint="eastAsia"/>
        </w:rPr>
        <w:t xml:space="preserve">    同时观察delta值。结合delta是否大于0（超额持仓或过低持仓来分析机会点）</w:t>
      </w:r>
    </w:p>
    <w:p w:rsidR="004165EC" w:rsidRDefault="00C97C8E">
      <w:pPr>
        <w:spacing w:line="360" w:lineRule="auto"/>
        <w:rPr>
          <w:rFonts w:ascii="宋体" w:hAnsi="宋体" w:cs="宋体"/>
        </w:rPr>
      </w:pPr>
      <w:r>
        <w:rPr>
          <w:rFonts w:ascii="宋体" w:hAnsi="宋体" w:cs="宋体" w:hint="eastAsia"/>
        </w:rPr>
        <w:t>还可以分析的地方：</w:t>
      </w:r>
    </w:p>
    <w:p w:rsidR="004165EC" w:rsidRDefault="00C97C8E">
      <w:pPr>
        <w:spacing w:line="360" w:lineRule="auto"/>
        <w:rPr>
          <w:rFonts w:ascii="宋体" w:hAnsi="宋体" w:cs="宋体"/>
        </w:rPr>
      </w:pPr>
      <w:r>
        <w:rPr>
          <w:rFonts w:ascii="宋体" w:hAnsi="宋体" w:cs="宋体" w:hint="eastAsia"/>
        </w:rPr>
        <w:t xml:space="preserve">    波动趋势相似性。</w:t>
      </w:r>
    </w:p>
    <w:p w:rsidR="004165EC" w:rsidRDefault="00C97C8E">
      <w:pPr>
        <w:spacing w:line="360" w:lineRule="auto"/>
        <w:rPr>
          <w:rFonts w:ascii="宋体" w:hAnsi="宋体" w:cs="宋体"/>
        </w:rPr>
      </w:pPr>
      <w:r>
        <w:rPr>
          <w:rFonts w:ascii="宋体" w:hAnsi="宋体" w:cs="宋体" w:hint="eastAsia"/>
        </w:rPr>
        <w:t xml:space="preserve">    delta与0的关系。</w:t>
      </w:r>
    </w:p>
    <w:p w:rsidR="004165EC" w:rsidRDefault="00C97C8E">
      <w:pPr>
        <w:spacing w:line="360" w:lineRule="auto"/>
        <w:rPr>
          <w:rFonts w:ascii="宋体" w:hAnsi="宋体"/>
          <w:b/>
          <w:bCs/>
          <w:sz w:val="28"/>
          <w:szCs w:val="28"/>
        </w:rPr>
      </w:pPr>
      <w:r>
        <w:rPr>
          <w:rFonts w:ascii="宋体" w:hAnsi="宋体" w:cs="宋体" w:hint="eastAsia"/>
        </w:rPr>
        <w:t xml:space="preserve">    但意义不大，毕竟：“（与持仓量类比）股票成交量只是价格预测的辅助指标。”</w:t>
      </w:r>
    </w:p>
    <w:p w:rsidR="004165EC" w:rsidRDefault="00C97C8E">
      <w:pPr>
        <w:spacing w:line="360" w:lineRule="auto"/>
        <w:rPr>
          <w:rFonts w:ascii="宋体" w:hAnsi="宋体"/>
          <w:b/>
          <w:bCs/>
          <w:sz w:val="28"/>
          <w:szCs w:val="28"/>
        </w:rPr>
      </w:pPr>
      <w:r>
        <w:rPr>
          <w:rFonts w:ascii="宋体" w:hAnsi="宋体" w:hint="eastAsia"/>
          <w:b/>
          <w:bCs/>
          <w:sz w:val="28"/>
          <w:szCs w:val="28"/>
        </w:rPr>
        <w:t>7 下一步研究计划</w:t>
      </w:r>
    </w:p>
    <w:p w:rsidR="004165EC" w:rsidRDefault="00C97C8E">
      <w:pPr>
        <w:spacing w:line="360" w:lineRule="auto"/>
        <w:rPr>
          <w:rFonts w:ascii="宋体" w:hAnsi="宋体"/>
          <w:b/>
          <w:bCs/>
          <w:szCs w:val="21"/>
        </w:rPr>
      </w:pPr>
      <w:r>
        <w:rPr>
          <w:rFonts w:ascii="宋体" w:hAnsi="宋体" w:hint="eastAsia"/>
          <w:b/>
          <w:bCs/>
          <w:szCs w:val="21"/>
        </w:rPr>
        <w:t>7.1评价各种交易策略模型，选择最终交易策略。</w:t>
      </w:r>
    </w:p>
    <w:p w:rsidR="004165EC" w:rsidRDefault="00C97C8E">
      <w:pPr>
        <w:spacing w:line="360" w:lineRule="auto"/>
        <w:ind w:firstLineChars="200" w:firstLine="420"/>
        <w:rPr>
          <w:rFonts w:ascii="宋体" w:hAnsi="宋体"/>
          <w:bCs/>
          <w:szCs w:val="21"/>
        </w:rPr>
      </w:pPr>
      <w:r>
        <w:rPr>
          <w:rFonts w:ascii="宋体" w:hAnsi="宋体" w:hint="eastAsia"/>
          <w:bCs/>
          <w:szCs w:val="21"/>
        </w:rPr>
        <w:t>完善三种策略选择方法，比较优劣。可以采用基于RSI指标做交易策略的收益率作为标准，衡量上述模型的优劣。</w:t>
      </w:r>
    </w:p>
    <w:p w:rsidR="004165EC" w:rsidRDefault="00C97C8E">
      <w:pPr>
        <w:spacing w:line="360" w:lineRule="auto"/>
        <w:rPr>
          <w:rFonts w:ascii="宋体" w:hAnsi="宋体" w:cs="宋体"/>
          <w:szCs w:val="21"/>
        </w:rPr>
      </w:pPr>
      <w:r>
        <w:rPr>
          <w:rFonts w:ascii="宋体" w:hAnsi="宋体" w:cs="宋体" w:hint="eastAsia"/>
          <w:szCs w:val="21"/>
        </w:rPr>
        <w:t>RSI的原理简单来说是以数字计算的方法求出买卖双方的力量对比，譬如有100个人面对一件商品，如果50个人以上要买，竞相抬价，商品价格必涨。相反，如果50个人以上争着卖出，价格自然下跌。</w:t>
      </w:r>
    </w:p>
    <w:p w:rsidR="004165EC" w:rsidRDefault="00C97C8E">
      <w:pPr>
        <w:spacing w:line="360" w:lineRule="auto"/>
        <w:rPr>
          <w:rFonts w:ascii="宋体" w:hAnsi="宋体" w:cs="宋体"/>
          <w:szCs w:val="21"/>
        </w:rPr>
      </w:pPr>
      <w:r>
        <w:rPr>
          <w:rFonts w:ascii="宋体" w:hAnsi="宋体" w:cs="宋体" w:hint="eastAsia"/>
          <w:szCs w:val="21"/>
        </w:rPr>
        <w:t xml:space="preserve">    强弱指标理论认为，任何市价的大涨或大跌，均在0-100之间变动，根据常态分配，认为RSI值多在30-70之间变动，通常80甚至90时被认为市场已到达超买状态(Overbought)，至此市场价格自然会回落调整。当价格低跌至30以下即被认为是超卖(Oversold)，市价将出现反弹回升。</w:t>
      </w:r>
    </w:p>
    <w:p w:rsidR="004165EC" w:rsidRDefault="00C97C8E">
      <w:pPr>
        <w:spacing w:line="360" w:lineRule="auto"/>
        <w:rPr>
          <w:rFonts w:ascii="宋体" w:hAnsi="宋体" w:cs="宋体"/>
          <w:szCs w:val="21"/>
        </w:rPr>
      </w:pPr>
      <w:r>
        <w:rPr>
          <w:rFonts w:ascii="宋体" w:hAnsi="宋体" w:cs="宋体" w:hint="eastAsia"/>
          <w:szCs w:val="21"/>
        </w:rPr>
        <w:t xml:space="preserve">    RSI计算公式为</w:t>
      </w:r>
    </w:p>
    <w:p w:rsidR="004165EC" w:rsidRDefault="00C97C8E">
      <w:pPr>
        <w:spacing w:line="360" w:lineRule="auto"/>
        <w:rPr>
          <w:rFonts w:ascii="宋体" w:hAnsi="宋体" w:cs="宋体"/>
          <w:szCs w:val="21"/>
        </w:rPr>
      </w:pPr>
      <w:r>
        <w:rPr>
          <w:rFonts w:ascii="宋体" w:hAnsi="宋体" w:cs="宋体" w:hint="eastAsia"/>
          <w:szCs w:val="21"/>
        </w:rPr>
        <w:t xml:space="preserve">    RSI（n）=n日内上涨各日涨幅和÷（n日内上涨各日涨幅和+n日内下跌各日跌幅和）×100</w:t>
      </w:r>
    </w:p>
    <w:p w:rsidR="004165EC" w:rsidRDefault="00C97C8E">
      <w:pPr>
        <w:spacing w:line="360" w:lineRule="auto"/>
        <w:rPr>
          <w:rFonts w:ascii="宋体" w:hAnsi="宋体" w:cs="宋体"/>
          <w:szCs w:val="21"/>
        </w:rPr>
      </w:pPr>
      <w:r>
        <w:rPr>
          <w:rFonts w:ascii="宋体" w:hAnsi="宋体" w:cs="宋体" w:hint="eastAsia"/>
          <w:szCs w:val="21"/>
        </w:rPr>
        <w:t xml:space="preserve">    一般教科书上所给出的计算公式为：RSI（n）=100－100÷［1+RS（n）]</w:t>
      </w:r>
    </w:p>
    <w:p w:rsidR="004165EC" w:rsidRDefault="00C97C8E">
      <w:pPr>
        <w:spacing w:line="360" w:lineRule="auto"/>
        <w:rPr>
          <w:rFonts w:ascii="宋体" w:hAnsi="宋体" w:cs="宋体"/>
          <w:szCs w:val="21"/>
        </w:rPr>
      </w:pPr>
      <w:r>
        <w:rPr>
          <w:rFonts w:ascii="宋体" w:hAnsi="宋体" w:cs="宋体" w:hint="eastAsia"/>
          <w:szCs w:val="21"/>
        </w:rPr>
        <w:t xml:space="preserve">    其中RS（n）=n日内上涨各日涨幅和÷n日内下跌各日跌幅</w:t>
      </w:r>
      <w:proofErr w:type="gramStart"/>
      <w:r>
        <w:rPr>
          <w:rFonts w:ascii="宋体" w:hAnsi="宋体" w:cs="宋体" w:hint="eastAsia"/>
          <w:szCs w:val="21"/>
        </w:rPr>
        <w:t>和</w:t>
      </w:r>
      <w:proofErr w:type="gramEnd"/>
      <w:r>
        <w:rPr>
          <w:rFonts w:ascii="宋体" w:hAnsi="宋体" w:cs="宋体" w:hint="eastAsia"/>
          <w:szCs w:val="21"/>
        </w:rPr>
        <w:t xml:space="preserve">。以 上 两 </w:t>
      </w:r>
      <w:proofErr w:type="gramStart"/>
      <w:r>
        <w:rPr>
          <w:rFonts w:ascii="宋体" w:hAnsi="宋体" w:cs="宋体" w:hint="eastAsia"/>
          <w:szCs w:val="21"/>
        </w:rPr>
        <w:t>个</w:t>
      </w:r>
      <w:proofErr w:type="gramEnd"/>
      <w:r>
        <w:rPr>
          <w:rFonts w:ascii="宋体" w:hAnsi="宋体" w:cs="宋体" w:hint="eastAsia"/>
          <w:szCs w:val="21"/>
        </w:rPr>
        <w:t xml:space="preserve"> 公 式 的 计 </w:t>
      </w:r>
      <w:proofErr w:type="gramStart"/>
      <w:r>
        <w:rPr>
          <w:rFonts w:ascii="宋体" w:hAnsi="宋体" w:cs="宋体" w:hint="eastAsia"/>
          <w:szCs w:val="21"/>
        </w:rPr>
        <w:t>算结</w:t>
      </w:r>
      <w:proofErr w:type="gramEnd"/>
      <w:r>
        <w:rPr>
          <w:rFonts w:ascii="宋体" w:hAnsi="宋体" w:cs="宋体" w:hint="eastAsia"/>
          <w:szCs w:val="21"/>
        </w:rPr>
        <w:t xml:space="preserve"> 果一致，含义也相同，RSI的值在0~100。各种行情软件中所使用的RSI指标计算公式的具体形式可能会稍有变化，但基本思想是相同的。RSI指标一般会同时给出计算周期一般为7天和14天的两条曲线，不同的使用者可以根据需要进行修改。</w:t>
      </w:r>
    </w:p>
    <w:p w:rsidR="004165EC" w:rsidRDefault="00C97C8E">
      <w:pPr>
        <w:spacing w:line="360" w:lineRule="auto"/>
        <w:rPr>
          <w:rFonts w:ascii="宋体" w:hAnsi="宋体"/>
          <w:bCs/>
          <w:szCs w:val="21"/>
        </w:rPr>
      </w:pPr>
      <w:r>
        <w:rPr>
          <w:rFonts w:ascii="宋体" w:hAnsi="宋体" w:cs="宋体" w:hint="eastAsia"/>
          <w:szCs w:val="21"/>
        </w:rPr>
        <w:lastRenderedPageBreak/>
        <w:t xml:space="preserve">    一般而言，RSI值为50是市场强与弱的分界线，RSI值介于50~80时为强，表明市场多方力量强于空方，此时市场适宜做多；RSI值介于20~50时为弱，表明市场空方力量强于多方，此时市场适宜做空。当RSI值介于0~20与80～100时，预示着市场处于超买超卖中，表明目前的下跌或上涨行情已经超出了理性的范围，市场行情反转的可能性很大.</w:t>
      </w:r>
    </w:p>
    <w:p w:rsidR="004165EC" w:rsidRDefault="00C97C8E">
      <w:pPr>
        <w:spacing w:line="360" w:lineRule="auto"/>
        <w:ind w:firstLineChars="200" w:firstLine="420"/>
        <w:rPr>
          <w:rFonts w:ascii="宋体" w:hAnsi="宋体"/>
          <w:bCs/>
          <w:szCs w:val="21"/>
        </w:rPr>
      </w:pPr>
      <w:r>
        <w:rPr>
          <w:rFonts w:ascii="宋体" w:hAnsi="宋体" w:hint="eastAsia"/>
          <w:bCs/>
          <w:szCs w:val="21"/>
        </w:rPr>
        <w:t>如若可能，综合运用三种方法，进行策略选择以减小风险。</w:t>
      </w:r>
    </w:p>
    <w:p w:rsidR="004165EC" w:rsidRDefault="00C97C8E">
      <w:pPr>
        <w:spacing w:line="360" w:lineRule="auto"/>
        <w:rPr>
          <w:rFonts w:ascii="宋体" w:hAnsi="宋体"/>
          <w:b/>
          <w:bCs/>
          <w:szCs w:val="21"/>
        </w:rPr>
      </w:pPr>
      <w:r>
        <w:rPr>
          <w:rFonts w:ascii="宋体" w:hAnsi="宋体" w:hint="eastAsia"/>
          <w:b/>
          <w:bCs/>
          <w:szCs w:val="21"/>
        </w:rPr>
        <w:t>7.2优化策略及控制风险</w:t>
      </w:r>
    </w:p>
    <w:p w:rsidR="004165EC" w:rsidRDefault="00C97C8E">
      <w:pPr>
        <w:spacing w:line="360" w:lineRule="auto"/>
        <w:ind w:firstLineChars="200" w:firstLine="420"/>
        <w:rPr>
          <w:rFonts w:ascii="宋体" w:hAnsi="宋体"/>
          <w:szCs w:val="21"/>
        </w:rPr>
      </w:pPr>
      <w:r>
        <w:rPr>
          <w:rFonts w:ascii="宋体" w:hAnsi="宋体" w:hint="eastAsia"/>
          <w:szCs w:val="21"/>
        </w:rPr>
        <w:t>划分期货市场风险，将市场风险，信用风险，流动性风险等各类风险，用方法将风险量化，然后进行风险管理的量化建模，确定各项风险的频度和强度，为选择适当的风险处理方法提供依据。</w:t>
      </w:r>
    </w:p>
    <w:p w:rsidR="004165EC" w:rsidRDefault="00C97C8E">
      <w:pPr>
        <w:spacing w:line="360" w:lineRule="auto"/>
        <w:rPr>
          <w:rFonts w:ascii="宋体" w:hAnsi="宋体"/>
          <w:b/>
          <w:bCs/>
          <w:szCs w:val="21"/>
        </w:rPr>
      </w:pPr>
      <w:r>
        <w:rPr>
          <w:rFonts w:ascii="宋体" w:hAnsi="宋体" w:hint="eastAsia"/>
          <w:b/>
          <w:bCs/>
          <w:szCs w:val="21"/>
        </w:rPr>
        <w:t>7.3程序的</w:t>
      </w:r>
      <w:r>
        <w:rPr>
          <w:rFonts w:ascii="宋体" w:hAnsi="宋体"/>
          <w:b/>
          <w:bCs/>
          <w:szCs w:val="21"/>
        </w:rPr>
        <w:t>初步研发</w:t>
      </w:r>
    </w:p>
    <w:p w:rsidR="004165EC" w:rsidRDefault="00C97C8E">
      <w:pPr>
        <w:spacing w:line="360" w:lineRule="auto"/>
        <w:ind w:firstLineChars="200" w:firstLine="420"/>
        <w:rPr>
          <w:rFonts w:ascii="宋体" w:hAnsi="宋体"/>
          <w:szCs w:val="21"/>
        </w:rPr>
      </w:pPr>
      <w:r>
        <w:rPr>
          <w:rFonts w:ascii="宋体" w:hAnsi="宋体" w:hint="eastAsia"/>
          <w:szCs w:val="21"/>
        </w:rPr>
        <w:t>根据建立的模型完成程序开发，利用等编写代码实现程序化的计量和监测。并导入模拟数据进行测试并调试程序。导入万家基金的期货管理信息，对模型进行进一步优化和实际应用。根据优化后的传统模型，对已经开发出来的程序进行后期优化、调试，以开发出一套适合万家基金实际情况的程序。</w:t>
      </w:r>
    </w:p>
    <w:p w:rsidR="004165EC" w:rsidRDefault="004165EC">
      <w:pPr>
        <w:spacing w:line="360" w:lineRule="auto"/>
        <w:rPr>
          <w:rFonts w:ascii="宋体" w:hAnsi="宋体"/>
          <w:b/>
          <w:szCs w:val="21"/>
        </w:rPr>
      </w:pPr>
    </w:p>
    <w:p w:rsidR="004165EC" w:rsidRDefault="00C97C8E">
      <w:pPr>
        <w:spacing w:line="360" w:lineRule="auto"/>
        <w:rPr>
          <w:rFonts w:ascii="宋体" w:hAnsi="宋体"/>
          <w:b/>
          <w:bCs/>
          <w:sz w:val="24"/>
          <w:szCs w:val="24"/>
        </w:rPr>
      </w:pPr>
      <w:r>
        <w:rPr>
          <w:rFonts w:ascii="宋体" w:hAnsi="宋体" w:hint="eastAsia"/>
          <w:b/>
          <w:bCs/>
          <w:sz w:val="24"/>
          <w:szCs w:val="24"/>
        </w:rPr>
        <w:t>附录1：</w:t>
      </w:r>
    </w:p>
    <w:p w:rsidR="004165EC" w:rsidRDefault="00C97C8E">
      <w:pPr>
        <w:spacing w:line="360" w:lineRule="auto"/>
        <w:jc w:val="center"/>
        <w:rPr>
          <w:b/>
        </w:rPr>
      </w:pPr>
      <w:r>
        <w:rPr>
          <w:b/>
        </w:rPr>
        <w:t>因子分析与主成分分析的区别</w:t>
      </w:r>
    </w:p>
    <w:p w:rsidR="004165EC" w:rsidRDefault="00C97C8E">
      <w:pPr>
        <w:spacing w:line="360" w:lineRule="auto"/>
      </w:pPr>
      <w:r>
        <w:pict>
          <v:shape id="Picture 499" o:spid="_x0000_s1191" type="#_x0000_t75" style="position:absolute;left:0;text-align:left;margin-left:-6pt;margin-top:5.55pt;width:310.5pt;height:210pt;z-index:29">
            <v:imagedata r:id="rId200" o:title="1F97D105FAEACE3560127B6A0B3DC26E_B500_900_500_338"/>
          </v:shape>
        </w:pict>
      </w: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4165EC">
      <w:pPr>
        <w:spacing w:line="360" w:lineRule="auto"/>
      </w:pPr>
    </w:p>
    <w:p w:rsidR="004165EC" w:rsidRDefault="00C97C8E">
      <w:pPr>
        <w:spacing w:line="360" w:lineRule="auto"/>
        <w:ind w:firstLine="420"/>
      </w:pPr>
      <w:r>
        <w:t>主成分分析：研究如何通过少数几个主成分来解释多变量的方差</w:t>
      </w:r>
      <w:proofErr w:type="gramStart"/>
      <w:r>
        <w:t>一</w:t>
      </w:r>
      <w:proofErr w:type="gramEnd"/>
      <w:r>
        <w:t>协方差结构的分析方法，也就是求出少数几个主成分</w:t>
      </w:r>
      <w:r>
        <w:t>(</w:t>
      </w:r>
      <w:r>
        <w:t>变量</w:t>
      </w:r>
      <w:r>
        <w:t>)</w:t>
      </w:r>
      <w:r>
        <w:t>，使它们尽可能多地保留原始变量的信息，且彼此不相关。它是一种数学变换的方法，即把给定的一组变量通过线性变换，转换为一组不相关的变量</w:t>
      </w:r>
      <w:r>
        <w:t>(</w:t>
      </w:r>
      <w:r>
        <w:t>两两相关系数为</w:t>
      </w:r>
      <w:r>
        <w:t>0</w:t>
      </w:r>
      <w:r>
        <w:t>，或样本向量彼此相互垂直的随机变量</w:t>
      </w:r>
      <w:r>
        <w:t>)</w:t>
      </w:r>
      <w:r>
        <w:t>。在这种变换中，保持变量的总方差</w:t>
      </w:r>
      <w:r>
        <w:t>(</w:t>
      </w:r>
      <w:r>
        <w:t>方差之和</w:t>
      </w:r>
      <w:r>
        <w:t>)</w:t>
      </w:r>
      <w:r>
        <w:t>不变。同时具有最大方差，称为第一主成分；具有次大方差，称为第二主成分。</w:t>
      </w:r>
    </w:p>
    <w:p w:rsidR="004165EC" w:rsidRDefault="00C97C8E">
      <w:pPr>
        <w:spacing w:line="360" w:lineRule="auto"/>
        <w:ind w:firstLine="420"/>
      </w:pPr>
      <w:r>
        <w:t> </w:t>
      </w:r>
      <w:r>
        <w:t>在主成分分析中，最终确定成分是原始变量的线性组合。每个主成分都是由原有</w:t>
      </w:r>
      <w:r>
        <w:t>p</w:t>
      </w:r>
      <w:proofErr w:type="gramStart"/>
      <w:r>
        <w:t>个</w:t>
      </w:r>
      <w:proofErr w:type="gramEnd"/>
      <w:r>
        <w:t>变量线性组合得到。在诸多主成分</w:t>
      </w:r>
      <w:r>
        <w:t>Z i</w:t>
      </w:r>
      <w:r>
        <w:t>中，</w:t>
      </w:r>
      <w:r>
        <w:t>Z 1</w:t>
      </w:r>
      <w:r>
        <w:t>在方差中占的比重最大，说明它综合原有变量的能力最强，越往后主成分在方差中的比重也小，综合原信息的能力越弱。</w:t>
      </w:r>
    </w:p>
    <w:p w:rsidR="004165EC" w:rsidRDefault="00C97C8E">
      <w:pPr>
        <w:spacing w:line="360" w:lineRule="auto"/>
      </w:pPr>
      <w:r>
        <w:t>     </w:t>
      </w:r>
      <w:r>
        <w:rPr>
          <w:rFonts w:hint="eastAsia"/>
        </w:rPr>
        <w:t xml:space="preserve">  </w:t>
      </w:r>
      <w:r>
        <w:t>因子分析</w:t>
      </w:r>
      <w:r>
        <w:rPr>
          <w:rFonts w:hint="eastAsia"/>
        </w:rPr>
        <w:t>:</w:t>
      </w:r>
      <w:r>
        <w:t> </w:t>
      </w:r>
      <w:r>
        <w:t>因子分析是寻找潜在的起支配作用的因子模型的方法。因子分析是根据相关性大小把变量分组，使得同组内的变量之间相关性较高，但不同的组的变量相关性较低。每组变量代表一个基本结构，这个基本结构称为公共因子。对于所研究的问题就可试图用最少个数的不可测的所谓公共因子的线性函数与特殊因子之和来描述原来观测的每一分量。通过因子分析得来的新变量是对每个原始变量进行内部剖析。因子分析不是对原始变量的重新组合，而是对原始变量进行分解，分解为公共因子和特殊因子两部分。具体地说，就是要找出某个问题中可直接测量的具有一定相关性的诸指标，如何受少数几个在专业中有意义、又不可直接测量到、且相对独立的因子支配的规律，从而可用各指标的测定来间接确定各因子的状态。</w:t>
      </w:r>
    </w:p>
    <w:p w:rsidR="004165EC" w:rsidRDefault="00C97C8E">
      <w:pPr>
        <w:spacing w:line="360" w:lineRule="auto"/>
      </w:pPr>
      <w:r>
        <w:rPr>
          <w:rFonts w:hint="eastAsia"/>
        </w:rPr>
        <w:t xml:space="preserve">    </w:t>
      </w:r>
      <w:r>
        <w:t>1</w:t>
      </w:r>
      <w:r>
        <w:t>、主成分分析在于对原始变量的线性变换，注意是转换、变换；而因子分析在于对原始变量的剖析，注意是剖析，是分解，分解为公共因子和特殊因子。</w:t>
      </w:r>
    </w:p>
    <w:p w:rsidR="004165EC" w:rsidRDefault="00C97C8E">
      <w:pPr>
        <w:spacing w:line="360" w:lineRule="auto"/>
      </w:pPr>
      <w:r>
        <w:rPr>
          <w:rFonts w:hint="eastAsia"/>
        </w:rPr>
        <w:t xml:space="preserve">    </w:t>
      </w:r>
      <w:r>
        <w:t>2</w:t>
      </w:r>
      <w:r>
        <w:t>、这两种分析法得出的新变量，也就是成分或者因子，并不是原始变量筛选或者提出后剩余的变量。</w:t>
      </w:r>
    </w:p>
    <w:p w:rsidR="004165EC" w:rsidRDefault="00C97C8E">
      <w:pPr>
        <w:spacing w:line="360" w:lineRule="auto"/>
      </w:pPr>
      <w:r>
        <w:rPr>
          <w:rFonts w:hint="eastAsia"/>
        </w:rPr>
        <w:t xml:space="preserve">    </w:t>
      </w:r>
      <w:r>
        <w:t>3</w:t>
      </w:r>
      <w:r>
        <w:t>、因子分析只能解释部分变异（指公共因子），主成分分析能解释所有变异（如果提取了所有成分）。</w:t>
      </w:r>
    </w:p>
    <w:p w:rsidR="004165EC" w:rsidRDefault="00C97C8E">
      <w:pPr>
        <w:spacing w:line="360" w:lineRule="auto"/>
      </w:pPr>
      <w:r>
        <w:rPr>
          <w:rFonts w:hint="eastAsia"/>
        </w:rPr>
        <w:t xml:space="preserve">    </w:t>
      </w:r>
      <w:r>
        <w:t>4</w:t>
      </w:r>
      <w:r>
        <w:t>、主成分分析，有几个变量就至少有几个成分，一般只提取能解释</w:t>
      </w:r>
      <w:r>
        <w:t>80%</w:t>
      </w:r>
      <w:r>
        <w:t>以上的成分；因子分析，有几个变量不一定有几个公共因子，因为这里的因子是公因子，潜在的存在与每一个变量中，需要从每一个变量中去分解，无法解释的部分是特殊因子。</w:t>
      </w:r>
    </w:p>
    <w:p w:rsidR="004165EC" w:rsidRDefault="004165EC">
      <w:pPr>
        <w:spacing w:line="360" w:lineRule="auto"/>
      </w:pPr>
    </w:p>
    <w:p w:rsidR="004165EC" w:rsidRDefault="00C97C8E">
      <w:pPr>
        <w:spacing w:line="360" w:lineRule="auto"/>
      </w:pPr>
      <w:r>
        <w:t> </w:t>
      </w:r>
    </w:p>
    <w:p w:rsidR="004165EC" w:rsidRDefault="004165EC">
      <w:pPr>
        <w:spacing w:line="360" w:lineRule="auto"/>
        <w:rPr>
          <w:rFonts w:ascii="宋体" w:hAnsi="宋体"/>
        </w:rPr>
      </w:pPr>
    </w:p>
    <w:p w:rsidR="004165EC" w:rsidRDefault="00C97C8E">
      <w:pPr>
        <w:spacing w:line="360" w:lineRule="auto"/>
        <w:rPr>
          <w:rFonts w:ascii="宋体" w:hAnsi="宋体"/>
          <w:b/>
          <w:bCs/>
          <w:sz w:val="24"/>
          <w:szCs w:val="24"/>
        </w:rPr>
      </w:pPr>
      <w:r>
        <w:rPr>
          <w:rFonts w:ascii="宋体" w:hAnsi="宋体" w:hint="eastAsia"/>
          <w:b/>
          <w:bCs/>
          <w:sz w:val="24"/>
          <w:szCs w:val="24"/>
        </w:rPr>
        <w:t>附录2：</w:t>
      </w:r>
    </w:p>
    <w:p w:rsidR="004165EC" w:rsidRDefault="004165EC">
      <w:pPr>
        <w:spacing w:line="360" w:lineRule="auto"/>
        <w:rPr>
          <w:rFonts w:ascii="宋体" w:hAnsi="宋体"/>
        </w:rPr>
      </w:pPr>
    </w:p>
    <w:p w:rsidR="004165EC" w:rsidRDefault="004165EC">
      <w:pPr>
        <w:spacing w:line="360" w:lineRule="auto"/>
      </w:pPr>
    </w:p>
    <w:p w:rsidR="004165EC" w:rsidRDefault="00C97C8E">
      <w:pPr>
        <w:spacing w:line="360" w:lineRule="auto"/>
        <w:jc w:val="center"/>
        <w:rPr>
          <w:rFonts w:ascii="宋体" w:hAnsi="宋体" w:cs="宋体"/>
          <w:szCs w:val="21"/>
        </w:rPr>
      </w:pPr>
      <w:r>
        <w:rPr>
          <w:rFonts w:ascii="宋体" w:hAnsi="宋体" w:cs="宋体" w:hint="eastAsia"/>
          <w:b/>
          <w:szCs w:val="21"/>
        </w:rPr>
        <w:t>因子分析理论基础介绍</w:t>
      </w:r>
    </w:p>
    <w:p w:rsidR="004165EC" w:rsidRDefault="00C97C8E">
      <w:pPr>
        <w:spacing w:line="360" w:lineRule="auto"/>
        <w:ind w:firstLineChars="200" w:firstLine="420"/>
        <w:rPr>
          <w:rFonts w:ascii="宋体" w:hAnsi="宋体"/>
          <w:szCs w:val="21"/>
        </w:rPr>
      </w:pPr>
      <w:r>
        <w:rPr>
          <w:rFonts w:ascii="宋体" w:hAnsi="宋体" w:hint="eastAsia"/>
          <w:szCs w:val="21"/>
        </w:rPr>
        <w:t>因子分析起源于心理学领域。20世纪初心理学家斯皮尔曼在研究智力活动时首先提出了因子分析的思想，后来经过汤普森、凯勒、霍特林以及</w:t>
      </w:r>
      <w:proofErr w:type="gramStart"/>
      <w:r>
        <w:rPr>
          <w:rFonts w:ascii="宋体" w:hAnsi="宋体" w:hint="eastAsia"/>
          <w:szCs w:val="21"/>
        </w:rPr>
        <w:t>瑟</w:t>
      </w:r>
      <w:proofErr w:type="gramEnd"/>
      <w:r>
        <w:rPr>
          <w:rFonts w:ascii="宋体" w:hAnsi="宋体" w:hint="eastAsia"/>
          <w:szCs w:val="21"/>
        </w:rPr>
        <w:t>斯通等人的完善改进，直至20世纪50年代，因子分析技术形成，但是仍然存在很多问题。最初的因子提取方法只是近似，决定因子数量的校</w:t>
      </w:r>
      <w:proofErr w:type="gramStart"/>
      <w:r>
        <w:rPr>
          <w:rFonts w:ascii="宋体" w:hAnsi="宋体" w:hint="eastAsia"/>
          <w:szCs w:val="21"/>
        </w:rPr>
        <w:t>标对于</w:t>
      </w:r>
      <w:proofErr w:type="gramEnd"/>
      <w:r>
        <w:rPr>
          <w:rFonts w:ascii="宋体" w:hAnsi="宋体" w:hint="eastAsia"/>
          <w:szCs w:val="21"/>
        </w:rPr>
        <w:t>相关解释也是近似的。</w:t>
      </w:r>
    </w:p>
    <w:p w:rsidR="004165EC" w:rsidRDefault="00C97C8E">
      <w:pPr>
        <w:spacing w:line="360" w:lineRule="auto"/>
        <w:ind w:firstLineChars="200" w:firstLine="420"/>
        <w:rPr>
          <w:rFonts w:ascii="宋体" w:hAnsi="宋体"/>
          <w:szCs w:val="21"/>
        </w:rPr>
      </w:pPr>
      <w:r>
        <w:rPr>
          <w:rFonts w:ascii="宋体" w:hAnsi="宋体" w:hint="eastAsia"/>
          <w:szCs w:val="21"/>
        </w:rPr>
        <w:t>近年来，由于不断深入的理论研究以及引入了计算机技术，一些问题得到了解决或者是有了明确的界定。因子分析从最初应用于心理学扩展到多个领域，目前已经在心理学，社会学，经济学、考古学、医学等领域有着广泛的应用。</w:t>
      </w:r>
    </w:p>
    <w:p w:rsidR="004165EC" w:rsidRDefault="00C97C8E">
      <w:pPr>
        <w:spacing w:line="360" w:lineRule="auto"/>
        <w:ind w:firstLineChars="200" w:firstLine="420"/>
        <w:rPr>
          <w:rFonts w:ascii="宋体" w:hAnsi="宋体"/>
          <w:szCs w:val="21"/>
        </w:rPr>
      </w:pPr>
      <w:r>
        <w:rPr>
          <w:rFonts w:ascii="宋体" w:hAnsi="宋体" w:hint="eastAsia"/>
          <w:szCs w:val="21"/>
        </w:rPr>
        <w:t>因子分析法通过研究相关阵或协方差阵的内部依赖关系，在处理具有多个指标的问题中用来寻找出支配多个指标的少数几个公因子或者是共性因子，这些公因子具有一个性质，就是他们是彼此独立或者是不相关的。在研究问题时，以公因子代替</w:t>
      </w:r>
      <w:proofErr w:type="gramStart"/>
      <w:r>
        <w:rPr>
          <w:rFonts w:ascii="宋体" w:hAnsi="宋体" w:hint="eastAsia"/>
          <w:szCs w:val="21"/>
        </w:rPr>
        <w:t>原指标</w:t>
      </w:r>
      <w:proofErr w:type="gramEnd"/>
      <w:r>
        <w:rPr>
          <w:rFonts w:ascii="宋体" w:hAnsi="宋体" w:hint="eastAsia"/>
          <w:szCs w:val="21"/>
        </w:rPr>
        <w:t>作为研究对象，可以达到</w:t>
      </w:r>
      <w:proofErr w:type="gramStart"/>
      <w:r>
        <w:rPr>
          <w:rFonts w:ascii="宋体" w:hAnsi="宋体" w:hint="eastAsia"/>
          <w:szCs w:val="21"/>
        </w:rPr>
        <w:t>到</w:t>
      </w:r>
      <w:proofErr w:type="gramEnd"/>
      <w:r>
        <w:rPr>
          <w:rFonts w:ascii="宋体" w:hAnsi="宋体" w:hint="eastAsia"/>
          <w:szCs w:val="21"/>
        </w:rPr>
        <w:t>在不损失或很少损失</w:t>
      </w:r>
      <w:proofErr w:type="gramStart"/>
      <w:r>
        <w:rPr>
          <w:rFonts w:ascii="宋体" w:hAnsi="宋体" w:hint="eastAsia"/>
          <w:szCs w:val="21"/>
        </w:rPr>
        <w:t>原指标</w:t>
      </w:r>
      <w:proofErr w:type="gramEnd"/>
      <w:r>
        <w:rPr>
          <w:rFonts w:ascii="宋体" w:hAnsi="宋体" w:hint="eastAsia"/>
          <w:szCs w:val="21"/>
        </w:rPr>
        <w:t>所包含信息的效果。简而言之，因子分析是多元统计中</w:t>
      </w:r>
      <w:proofErr w:type="gramStart"/>
      <w:r>
        <w:rPr>
          <w:rFonts w:ascii="宋体" w:hAnsi="宋体" w:hint="eastAsia"/>
          <w:szCs w:val="21"/>
        </w:rPr>
        <w:t>处理降维的</w:t>
      </w:r>
      <w:proofErr w:type="gramEnd"/>
      <w:r>
        <w:rPr>
          <w:rFonts w:ascii="宋体" w:hAnsi="宋体" w:hint="eastAsia"/>
          <w:szCs w:val="21"/>
        </w:rPr>
        <w:t>一种方法。</w:t>
      </w:r>
    </w:p>
    <w:p w:rsidR="004165EC" w:rsidRDefault="00C97C8E">
      <w:pPr>
        <w:spacing w:line="360" w:lineRule="auto"/>
        <w:ind w:firstLineChars="200" w:firstLine="420"/>
        <w:rPr>
          <w:rFonts w:ascii="宋体" w:hAnsi="宋体"/>
          <w:szCs w:val="21"/>
        </w:rPr>
      </w:pPr>
      <w:r>
        <w:rPr>
          <w:rFonts w:ascii="宋体" w:hAnsi="宋体" w:hint="eastAsia"/>
          <w:szCs w:val="21"/>
        </w:rPr>
        <w:t>根据研究对象的不同，可将因子分析分为两类。一类是R型因子分析，研究指标之间的相关关系,分析相关阵或是协方差阵内部结构，找出控制所有变量的几个公共因子；另一类是Q型因子分析，研究样本之间的关系,通过对样品相似矩阵的内部结构的研究找出控制所有样本的几个主要指标</w:t>
      </w:r>
      <w:r>
        <w:rPr>
          <w:rFonts w:ascii="宋体" w:hAnsi="宋体" w:hint="eastAsia"/>
          <w:szCs w:val="21"/>
          <w:vertAlign w:val="superscript"/>
        </w:rPr>
        <w:t>[1]</w: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总的来说，因子分析应用可概括为两大类：第一类是简化观测系统，在能包含原始变量信息的条件下，将关系错综复杂的对象（变量或是样品）综合为少数几个因子；第二类是用于分类，将</w:t>
      </w:r>
      <w:r>
        <w:rPr>
          <w:rFonts w:ascii="宋体" w:hAnsi="宋体"/>
          <w:position w:val="-6"/>
          <w:szCs w:val="21"/>
        </w:rPr>
        <w:pict>
          <v:shape id="_x0000_i1146" type="#_x0000_t75" style="width:12.75pt;height:11.25pt">
            <v:imagedata r:id="rId201" o:title=""/>
          </v:shape>
        </w:pict>
      </w:r>
      <w:proofErr w:type="gramStart"/>
      <w:r>
        <w:rPr>
          <w:rFonts w:ascii="宋体" w:hAnsi="宋体" w:hint="eastAsia"/>
          <w:szCs w:val="21"/>
        </w:rPr>
        <w:t>个</w:t>
      </w:r>
      <w:proofErr w:type="gramEnd"/>
      <w:r>
        <w:rPr>
          <w:rFonts w:ascii="宋体" w:hAnsi="宋体" w:hint="eastAsia"/>
          <w:szCs w:val="21"/>
        </w:rPr>
        <w:t>指标或是</w:t>
      </w:r>
      <w:r>
        <w:rPr>
          <w:rFonts w:ascii="宋体" w:hAnsi="宋体"/>
          <w:position w:val="-6"/>
          <w:szCs w:val="21"/>
        </w:rPr>
        <w:pict>
          <v:shape id="_x0000_i1147" type="#_x0000_t75" style="width:9.75pt;height:11.25pt">
            <v:imagedata r:id="rId202" o:title=""/>
          </v:shape>
        </w:pict>
      </w:r>
      <w:proofErr w:type="gramStart"/>
      <w:r>
        <w:rPr>
          <w:rFonts w:ascii="宋体" w:hAnsi="宋体" w:hint="eastAsia"/>
          <w:szCs w:val="21"/>
        </w:rPr>
        <w:t>个</w:t>
      </w:r>
      <w:proofErr w:type="gramEnd"/>
      <w:r>
        <w:rPr>
          <w:rFonts w:ascii="宋体" w:hAnsi="宋体" w:hint="eastAsia"/>
          <w:szCs w:val="21"/>
        </w:rPr>
        <w:t>样本分类。</w:t>
      </w:r>
    </w:p>
    <w:p w:rsidR="004165EC" w:rsidRDefault="00C97C8E">
      <w:pPr>
        <w:spacing w:line="360" w:lineRule="auto"/>
        <w:rPr>
          <w:rFonts w:ascii="宋体" w:hAnsi="宋体"/>
          <w:szCs w:val="21"/>
        </w:rPr>
      </w:pPr>
      <w:r>
        <w:rPr>
          <w:rFonts w:ascii="黑体" w:eastAsia="黑体" w:hAnsi="宋体" w:hint="eastAsia"/>
          <w:b/>
          <w:szCs w:val="21"/>
        </w:rPr>
        <w:t>2.1  正交因子模型</w:t>
      </w:r>
    </w:p>
    <w:p w:rsidR="004165EC" w:rsidRDefault="00C97C8E">
      <w:pPr>
        <w:spacing w:line="360" w:lineRule="auto"/>
        <w:ind w:firstLineChars="200" w:firstLine="420"/>
        <w:rPr>
          <w:rFonts w:ascii="宋体" w:hAnsi="宋体"/>
          <w:szCs w:val="21"/>
        </w:rPr>
      </w:pPr>
      <w:r>
        <w:rPr>
          <w:rFonts w:ascii="宋体" w:hAnsi="宋体" w:hint="eastAsia"/>
          <w:szCs w:val="21"/>
        </w:rPr>
        <w:t>假设要进行分析的</w:t>
      </w:r>
      <w:proofErr w:type="gramStart"/>
      <w:r>
        <w:rPr>
          <w:rFonts w:ascii="宋体" w:hAnsi="宋体" w:hint="eastAsia"/>
          <w:szCs w:val="21"/>
        </w:rPr>
        <w:t>原指标</w:t>
      </w:r>
      <w:proofErr w:type="gramEnd"/>
      <w:r>
        <w:rPr>
          <w:rFonts w:ascii="宋体" w:hAnsi="宋体" w:hint="eastAsia"/>
          <w:szCs w:val="21"/>
        </w:rPr>
        <w:t>有</w:t>
      </w:r>
      <w:r>
        <w:rPr>
          <w:rFonts w:ascii="宋体" w:hAnsi="宋体"/>
          <w:position w:val="-10"/>
          <w:szCs w:val="21"/>
        </w:rPr>
        <w:pict>
          <v:shape id="_x0000_i1148" type="#_x0000_t75" style="width:9.75pt;height:12pt">
            <v:imagedata r:id="rId203" o:title=""/>
          </v:shape>
        </w:pict>
      </w:r>
      <w:proofErr w:type="gramStart"/>
      <w:r>
        <w:rPr>
          <w:rFonts w:ascii="宋体" w:hAnsi="宋体" w:hint="eastAsia"/>
          <w:szCs w:val="21"/>
        </w:rPr>
        <w:t>个</w:t>
      </w:r>
      <w:proofErr w:type="gramEnd"/>
      <w:r>
        <w:rPr>
          <w:rFonts w:ascii="宋体" w:hAnsi="宋体" w:hint="eastAsia"/>
          <w:szCs w:val="21"/>
        </w:rPr>
        <w:t>，记</w:t>
      </w:r>
      <w:r>
        <w:rPr>
          <w:rFonts w:ascii="宋体" w:hAnsi="宋体"/>
          <w:position w:val="-14"/>
          <w:szCs w:val="21"/>
        </w:rPr>
        <w:pict>
          <v:shape id="_x0000_i1149" type="#_x0000_t75" style="width:102.75pt;height:18.75pt">
            <v:imagedata r:id="rId204" o:title=""/>
          </v:shape>
        </w:pict>
      </w:r>
      <w:r>
        <w:rPr>
          <w:rFonts w:ascii="宋体" w:hAnsi="宋体" w:hint="eastAsia"/>
          <w:szCs w:val="21"/>
        </w:rPr>
        <w:t>为可观测的随机向量，</w:t>
      </w:r>
      <w:r>
        <w:rPr>
          <w:rFonts w:ascii="宋体" w:hAnsi="宋体"/>
          <w:position w:val="-10"/>
          <w:szCs w:val="21"/>
        </w:rPr>
        <w:pict>
          <v:shape id="_x0000_i1150" type="#_x0000_t75" style="width:100.5pt;height:15.75pt">
            <v:imagedata r:id="rId205" o:title=""/>
          </v:shape>
        </w:pict>
      </w:r>
      <w:r>
        <w:rPr>
          <w:rFonts w:ascii="宋体" w:hAnsi="宋体" w:hint="eastAsia"/>
          <w:szCs w:val="21"/>
        </w:rPr>
        <w:t>，且设</w:t>
      </w:r>
      <w:r>
        <w:rPr>
          <w:rFonts w:ascii="宋体" w:hAnsi="宋体"/>
          <w:position w:val="-12"/>
          <w:szCs w:val="21"/>
        </w:rPr>
        <w:pict>
          <v:shape id="_x0000_i1151" type="#_x0000_t75" style="width:144.75pt;height:20.25pt">
            <v:imagedata r:id="rId206" o:title=""/>
          </v:shape>
        </w:pict>
      </w:r>
      <w:r>
        <w:rPr>
          <w:rFonts w:ascii="宋体" w:hAnsi="宋体" w:hint="eastAsia"/>
          <w:szCs w:val="21"/>
        </w:rPr>
        <w:t>是不可观测的随机向量，</w:t>
      </w:r>
      <w:r>
        <w:rPr>
          <w:rFonts w:ascii="宋体" w:hAnsi="宋体"/>
          <w:position w:val="-12"/>
          <w:szCs w:val="21"/>
        </w:rPr>
        <w:pict>
          <v:shape id="_x0000_i1152" type="#_x0000_t75" style="width:176.25pt;height:18pt">
            <v:imagedata r:id="rId207" o:title=""/>
          </v:shape>
        </w:pict>
      </w:r>
      <w:r>
        <w:rPr>
          <w:rFonts w:ascii="宋体" w:hAnsi="宋体" w:hint="eastAsia"/>
          <w:szCs w:val="21"/>
        </w:rPr>
        <w:t>，又设</w:t>
      </w:r>
      <w:r>
        <w:rPr>
          <w:rFonts w:ascii="宋体" w:hAnsi="宋体"/>
          <w:position w:val="-14"/>
          <w:szCs w:val="21"/>
        </w:rPr>
        <w:pict>
          <v:shape id="_x0000_i1153" type="#_x0000_t75" style="width:76.5pt;height:21pt">
            <v:imagedata r:id="rId208" o:title=""/>
          </v:shape>
        </w:pict>
      </w:r>
      <w:r>
        <w:rPr>
          <w:rFonts w:ascii="宋体" w:hAnsi="宋体" w:hint="eastAsia"/>
          <w:szCs w:val="21"/>
        </w:rPr>
        <w:t>与</w:t>
      </w:r>
      <w:r>
        <w:rPr>
          <w:rFonts w:ascii="宋体" w:hAnsi="宋体"/>
          <w:position w:val="-4"/>
          <w:szCs w:val="21"/>
        </w:rPr>
        <w:pict>
          <v:shape id="_x0000_i1154" type="#_x0000_t75" style="width:12.75pt;height:12.75pt">
            <v:imagedata r:id="rId209" o:title=""/>
          </v:shape>
        </w:pict>
      </w:r>
      <w:r>
        <w:rPr>
          <w:rFonts w:ascii="宋体" w:hAnsi="宋体" w:hint="eastAsia"/>
          <w:szCs w:val="21"/>
        </w:rPr>
        <w:t>互不相关，且满足：</w:t>
      </w:r>
    </w:p>
    <w:p w:rsidR="004165EC" w:rsidRDefault="00C97C8E">
      <w:pPr>
        <w:spacing w:line="360" w:lineRule="auto"/>
        <w:ind w:firstLineChars="200" w:firstLine="420"/>
        <w:rPr>
          <w:rFonts w:ascii="宋体" w:hAnsi="宋体"/>
          <w:szCs w:val="21"/>
        </w:rPr>
      </w:pPr>
      <w:r>
        <w:rPr>
          <w:rFonts w:ascii="宋体" w:hAnsi="宋体"/>
          <w:position w:val="-14"/>
          <w:szCs w:val="21"/>
        </w:rPr>
        <w:lastRenderedPageBreak/>
        <w:pict>
          <v:shape id="_x0000_i1155" type="#_x0000_t75" style="width:191.25pt;height:27pt">
            <v:imagedata r:id="rId210" o:title=""/>
          </v:shape>
        </w:pic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假设随机向量满足</w:t>
      </w:r>
    </w:p>
    <w:p w:rsidR="004165EC" w:rsidRDefault="00C97C8E">
      <w:pPr>
        <w:spacing w:line="360" w:lineRule="auto"/>
        <w:ind w:firstLineChars="200" w:firstLine="420"/>
        <w:rPr>
          <w:rFonts w:ascii="宋体" w:hAnsi="宋体"/>
          <w:szCs w:val="21"/>
        </w:rPr>
      </w:pPr>
      <w:r>
        <w:rPr>
          <w:rFonts w:ascii="宋体" w:hAnsi="宋体"/>
          <w:position w:val="-70"/>
          <w:szCs w:val="21"/>
        </w:rPr>
        <w:pict>
          <v:shape id="_x0000_i1156" type="#_x0000_t75" style="width:207.75pt;height:75.75pt">
            <v:imagedata r:id="rId211"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则称模型为正交因子模型，用矩阵表示如下：</w:t>
      </w:r>
      <w:r>
        <w:rPr>
          <w:rFonts w:ascii="宋体" w:hAnsi="宋体"/>
          <w:position w:val="-10"/>
          <w:szCs w:val="21"/>
        </w:rPr>
        <w:pict>
          <v:shape id="图片 12" o:spid="_x0000_i1157" type="#_x0000_t75" style="width:78pt;height:15.75pt">
            <v:imagedata r:id="rId212" o:title=""/>
          </v:shape>
        </w:pic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其中</w:t>
      </w:r>
      <w:r>
        <w:rPr>
          <w:rFonts w:ascii="宋体" w:hAnsi="宋体"/>
          <w:position w:val="-12"/>
          <w:szCs w:val="21"/>
        </w:rPr>
        <w:pict>
          <v:shape id="_x0000_i1158" type="#_x0000_t75" style="width:102.75pt;height:20.25pt">
            <v:imagedata r:id="rId213" o:title=""/>
          </v:shape>
        </w:pict>
      </w:r>
      <w:r>
        <w:rPr>
          <w:rFonts w:ascii="宋体" w:hAnsi="宋体" w:hint="eastAsia"/>
          <w:szCs w:val="21"/>
        </w:rPr>
        <w:t>，</w:t>
      </w:r>
      <w:r>
        <w:rPr>
          <w:rFonts w:ascii="宋体" w:hAnsi="宋体"/>
          <w:position w:val="-12"/>
          <w:szCs w:val="21"/>
        </w:rPr>
        <w:pict>
          <v:shape id="_x0000_i1159" type="#_x0000_t75" style="width:60.75pt;height:18pt">
            <v:imagedata r:id="rId214" o:title=""/>
          </v:shape>
        </w:pict>
      </w:r>
      <w:r>
        <w:rPr>
          <w:rFonts w:ascii="宋体" w:hAnsi="宋体" w:hint="eastAsia"/>
          <w:szCs w:val="21"/>
        </w:rPr>
        <w:t>为</w:t>
      </w:r>
      <w:r>
        <w:rPr>
          <w:rFonts w:ascii="宋体" w:hAnsi="宋体"/>
          <w:position w:val="-4"/>
          <w:szCs w:val="21"/>
        </w:rPr>
        <w:pict>
          <v:shape id="_x0000_i1160" type="#_x0000_t75" style="width:12.75pt;height:12pt">
            <v:imagedata r:id="rId215" o:title=""/>
          </v:shape>
        </w:pict>
      </w:r>
      <w:r>
        <w:rPr>
          <w:rFonts w:ascii="宋体" w:hAnsi="宋体" w:hint="eastAsia"/>
          <w:szCs w:val="21"/>
        </w:rPr>
        <w:t>的公共因子；</w:t>
      </w:r>
      <w:r>
        <w:rPr>
          <w:rFonts w:ascii="宋体" w:hAnsi="宋体"/>
          <w:position w:val="-14"/>
          <w:szCs w:val="21"/>
        </w:rPr>
        <w:pict>
          <v:shape id="_x0000_i1161" type="#_x0000_t75" style="width:76.5pt;height:21pt">
            <v:imagedata r:id="rId216" o:title=""/>
          </v:shape>
        </w:pict>
      </w:r>
      <w:r>
        <w:rPr>
          <w:rFonts w:ascii="宋体" w:hAnsi="宋体" w:hint="eastAsia"/>
          <w:szCs w:val="21"/>
        </w:rPr>
        <w:t>，称</w:t>
      </w:r>
      <w:r>
        <w:rPr>
          <w:rFonts w:ascii="宋体" w:hAnsi="宋体"/>
          <w:position w:val="-14"/>
          <w:szCs w:val="21"/>
        </w:rPr>
        <w:pict>
          <v:shape id="_x0000_i1162" type="#_x0000_t75" style="width:57pt;height:18.75pt">
            <v:imagedata r:id="rId217" o:title=""/>
          </v:shape>
        </w:pict>
      </w:r>
      <w:r>
        <w:rPr>
          <w:rFonts w:ascii="宋体" w:hAnsi="宋体" w:hint="eastAsia"/>
          <w:szCs w:val="21"/>
        </w:rPr>
        <w:t>称为X的特殊因子。而且各个特殊因子之间以及特殊因子与所有公共因子之间均是不相关的。</w:t>
      </w:r>
    </w:p>
    <w:p w:rsidR="004165EC" w:rsidRDefault="00C97C8E">
      <w:pPr>
        <w:spacing w:line="360" w:lineRule="auto"/>
        <w:ind w:firstLineChars="200" w:firstLine="420"/>
        <w:rPr>
          <w:rFonts w:ascii="宋体" w:hAnsi="宋体"/>
          <w:szCs w:val="21"/>
        </w:rPr>
      </w:pPr>
      <w:r>
        <w:rPr>
          <w:rFonts w:ascii="宋体" w:hAnsi="宋体" w:hint="eastAsia"/>
          <w:szCs w:val="21"/>
        </w:rPr>
        <w:t>模型中</w:t>
      </w:r>
      <w:r>
        <w:rPr>
          <w:rFonts w:ascii="宋体" w:hAnsi="宋体"/>
          <w:position w:val="-14"/>
          <w:szCs w:val="21"/>
        </w:rPr>
        <w:pict>
          <v:shape id="_x0000_i1163" type="#_x0000_t75" style="width:63pt;height:18.75pt">
            <v:imagedata r:id="rId218" o:title=""/>
          </v:shape>
        </w:pict>
      </w:r>
      <w:r>
        <w:rPr>
          <w:rFonts w:ascii="宋体" w:hAnsi="宋体" w:hint="eastAsia"/>
          <w:szCs w:val="21"/>
        </w:rPr>
        <w:t>称为因子载荷矩阵，</w:t>
      </w:r>
      <w:proofErr w:type="gramStart"/>
      <w:r>
        <w:rPr>
          <w:rFonts w:ascii="宋体" w:hAnsi="宋体" w:hint="eastAsia"/>
          <w:szCs w:val="21"/>
        </w:rPr>
        <w:t>为待估系数矩阵</w:t>
      </w:r>
      <w:proofErr w:type="gramEnd"/>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为了更好的解正交因子模型，有必要来探讨一下正交因子模型中各个量的统计意义。</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由正交因子模型的假设条件可知：</w:t>
      </w:r>
    </w:p>
    <w:p w:rsidR="004165EC" w:rsidRDefault="00C97C8E">
      <w:pPr>
        <w:tabs>
          <w:tab w:val="left" w:pos="5415"/>
        </w:tabs>
        <w:spacing w:line="360" w:lineRule="auto"/>
        <w:ind w:firstLineChars="200" w:firstLine="420"/>
        <w:rPr>
          <w:rFonts w:ascii="楷体_GB2312" w:eastAsia="楷体_GB2312" w:hAnsi="宋体"/>
          <w:szCs w:val="21"/>
        </w:rPr>
      </w:pPr>
      <w:r>
        <w:rPr>
          <w:rFonts w:ascii="宋体" w:hAnsi="宋体"/>
          <w:position w:val="-74"/>
          <w:szCs w:val="21"/>
        </w:rPr>
        <w:pict>
          <v:shape id="_x0000_i1164" type="#_x0000_t75" style="width:282.75pt;height:80.25pt">
            <v:imagedata r:id="rId219" o:title=""/>
          </v:shape>
        </w:pic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由上论述可知，</w:t>
      </w:r>
      <w:r>
        <w:rPr>
          <w:rFonts w:ascii="宋体" w:hAnsi="宋体"/>
          <w:position w:val="-14"/>
          <w:szCs w:val="21"/>
        </w:rPr>
        <w:pict>
          <v:shape id="_x0000_i1165" type="#_x0000_t75" style="width:93pt;height:18.75pt">
            <v:imagedata r:id="rId220" o:title=""/>
          </v:shape>
        </w:pic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若变量</w:t>
      </w:r>
      <w:r>
        <w:rPr>
          <w:rFonts w:ascii="宋体" w:hAnsi="宋体"/>
          <w:position w:val="-12"/>
          <w:szCs w:val="21"/>
        </w:rPr>
        <w:pict>
          <v:shape id="_x0000_i1166" type="#_x0000_t75" style="width:15.75pt;height:18pt">
            <v:imagedata r:id="rId221" o:title=""/>
          </v:shape>
        </w:pict>
      </w:r>
      <w:r>
        <w:rPr>
          <w:rFonts w:ascii="宋体" w:hAnsi="宋体" w:hint="eastAsia"/>
          <w:szCs w:val="21"/>
        </w:rPr>
        <w:t>是标准化变量，则有：</w:t>
      </w:r>
    </w:p>
    <w:p w:rsidR="004165EC" w:rsidRDefault="00C97C8E">
      <w:pPr>
        <w:tabs>
          <w:tab w:val="left" w:pos="5415"/>
        </w:tabs>
        <w:spacing w:line="360" w:lineRule="auto"/>
        <w:ind w:firstLineChars="200" w:firstLine="420"/>
        <w:rPr>
          <w:rFonts w:ascii="宋体" w:hAnsi="宋体"/>
          <w:szCs w:val="21"/>
        </w:rPr>
      </w:pPr>
      <w:r>
        <w:rPr>
          <w:rFonts w:ascii="宋体" w:hAnsi="宋体"/>
          <w:position w:val="-38"/>
          <w:szCs w:val="21"/>
        </w:rPr>
        <w:pict>
          <v:shape id="_x0000_i1167" type="#_x0000_t75" style="width:231pt;height:39.75pt">
            <v:imagedata r:id="rId222" o:title=""/>
          </v:shape>
        </w:pict>
      </w:r>
      <w:r>
        <w:rPr>
          <w:rFonts w:ascii="宋体" w:hAnsi="宋体" w:hint="eastAsia"/>
          <w:szCs w:val="21"/>
        </w:rPr>
        <w:t>，即因子载荷</w:t>
      </w:r>
      <w:r>
        <w:rPr>
          <w:rFonts w:ascii="宋体" w:hAnsi="宋体"/>
          <w:position w:val="-14"/>
          <w:szCs w:val="21"/>
        </w:rPr>
        <w:pict>
          <v:shape id="图片 23" o:spid="_x0000_i1168" type="#_x0000_t75" style="width:14.25pt;height:18.75pt">
            <v:imagedata r:id="rId223" o:title=""/>
          </v:shape>
        </w:pict>
      </w:r>
      <w:r>
        <w:rPr>
          <w:rFonts w:ascii="宋体" w:hAnsi="宋体" w:hint="eastAsia"/>
          <w:szCs w:val="21"/>
        </w:rPr>
        <w:t>就是第</w:t>
      </w:r>
      <w:r>
        <w:rPr>
          <w:rFonts w:ascii="宋体" w:hAnsi="宋体"/>
          <w:position w:val="-6"/>
          <w:szCs w:val="21"/>
        </w:rPr>
        <w:pict>
          <v:shape id="图片 24" o:spid="_x0000_i1169" type="#_x0000_t75" style="width:6.75pt;height:12.75pt">
            <v:imagedata r:id="rId224" o:title=""/>
          </v:shape>
        </w:pict>
      </w:r>
      <w:proofErr w:type="gramStart"/>
      <w:r>
        <w:rPr>
          <w:rFonts w:ascii="宋体" w:hAnsi="宋体" w:hint="eastAsia"/>
          <w:szCs w:val="21"/>
        </w:rPr>
        <w:t>个</w:t>
      </w:r>
      <w:proofErr w:type="gramEnd"/>
      <w:r>
        <w:rPr>
          <w:rFonts w:ascii="宋体" w:hAnsi="宋体" w:hint="eastAsia"/>
          <w:szCs w:val="21"/>
        </w:rPr>
        <w:t>变量与第</w:t>
      </w:r>
      <w:r>
        <w:rPr>
          <w:rFonts w:ascii="宋体" w:hAnsi="宋体"/>
          <w:position w:val="-10"/>
          <w:szCs w:val="21"/>
        </w:rPr>
        <w:pict>
          <v:shape id="图片 25" o:spid="_x0000_i1170" type="#_x0000_t75" style="width:9.75pt;height:15pt">
            <v:imagedata r:id="rId225" o:title=""/>
          </v:shape>
        </w:pict>
      </w:r>
      <w:proofErr w:type="gramStart"/>
      <w:r>
        <w:rPr>
          <w:rFonts w:ascii="宋体" w:hAnsi="宋体" w:hint="eastAsia"/>
          <w:szCs w:val="21"/>
        </w:rPr>
        <w:t>个</w:t>
      </w:r>
      <w:proofErr w:type="gramEnd"/>
      <w:r>
        <w:rPr>
          <w:rFonts w:ascii="宋体" w:hAnsi="宋体" w:hint="eastAsia"/>
          <w:szCs w:val="21"/>
        </w:rPr>
        <w:t>公因子之间的相关系数。</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令</w:t>
      </w:r>
      <w:r>
        <w:rPr>
          <w:rFonts w:ascii="宋体" w:hAnsi="宋体"/>
          <w:position w:val="-34"/>
          <w:szCs w:val="21"/>
        </w:rPr>
        <w:pict>
          <v:shape id="_x0000_i1171" type="#_x0000_t75" style="width:126.75pt;height:38.25pt">
            <v:imagedata r:id="rId226" o:title=""/>
          </v:shape>
        </w:pict>
      </w:r>
      <w:r>
        <w:rPr>
          <w:rFonts w:ascii="宋体" w:hAnsi="宋体" w:hint="eastAsia"/>
          <w:szCs w:val="21"/>
        </w:rPr>
        <w:t>，称为变量</w:t>
      </w:r>
      <w:r>
        <w:rPr>
          <w:rFonts w:ascii="宋体" w:hAnsi="宋体"/>
          <w:position w:val="-12"/>
          <w:szCs w:val="21"/>
        </w:rPr>
        <w:pict>
          <v:shape id="_x0000_i1172" type="#_x0000_t75" style="width:15.75pt;height:18pt">
            <v:imagedata r:id="rId227" o:title=""/>
          </v:shape>
        </w:pict>
      </w:r>
      <w:r>
        <w:rPr>
          <w:rFonts w:ascii="宋体" w:hAnsi="宋体" w:hint="eastAsia"/>
          <w:szCs w:val="21"/>
        </w:rPr>
        <w:t>的共同度。</w:t>
      </w:r>
    </w:p>
    <w:p w:rsidR="004165EC" w:rsidRDefault="00C97C8E">
      <w:pPr>
        <w:tabs>
          <w:tab w:val="left" w:pos="5415"/>
        </w:tabs>
        <w:spacing w:line="360" w:lineRule="auto"/>
        <w:ind w:firstLineChars="200" w:firstLine="420"/>
        <w:rPr>
          <w:rFonts w:ascii="宋体" w:hAnsi="宋体"/>
          <w:szCs w:val="21"/>
        </w:rPr>
      </w:pPr>
      <w:r>
        <w:rPr>
          <w:rFonts w:ascii="宋体" w:hAnsi="宋体"/>
          <w:position w:val="-30"/>
          <w:szCs w:val="21"/>
        </w:rPr>
        <w:pict>
          <v:shape id="_x0000_i1173" type="#_x0000_t75" style="width:315.75pt;height:36pt">
            <v:imagedata r:id="rId228" o:title=""/>
          </v:shape>
        </w:pic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由此可知</w:t>
      </w:r>
      <w:r>
        <w:rPr>
          <w:rFonts w:ascii="宋体" w:hAnsi="宋体"/>
          <w:position w:val="-12"/>
          <w:szCs w:val="21"/>
        </w:rPr>
        <w:pict>
          <v:shape id="图片 29" o:spid="_x0000_i1174" type="#_x0000_t75" style="width:15.75pt;height:18pt">
            <v:imagedata r:id="rId227" o:title=""/>
          </v:shape>
        </w:pict>
      </w:r>
      <w:r>
        <w:rPr>
          <w:rFonts w:ascii="宋体" w:hAnsi="宋体" w:hint="eastAsia"/>
          <w:szCs w:val="21"/>
        </w:rPr>
        <w:t>的方差有两部分构成，第一部分</w:t>
      </w:r>
      <w:r>
        <w:rPr>
          <w:rFonts w:ascii="宋体" w:hAnsi="宋体"/>
          <w:position w:val="-12"/>
          <w:szCs w:val="21"/>
        </w:rPr>
        <w:pict>
          <v:shape id="图片 30" o:spid="_x0000_i1175" type="#_x0000_t75" style="width:15pt;height:20.25pt">
            <v:imagedata r:id="rId229" o:title=""/>
          </v:shape>
        </w:pict>
      </w:r>
      <w:r>
        <w:rPr>
          <w:rFonts w:ascii="宋体" w:hAnsi="宋体" w:hint="eastAsia"/>
          <w:szCs w:val="21"/>
        </w:rPr>
        <w:t>是公因子对变量</w:t>
      </w:r>
      <w:r>
        <w:rPr>
          <w:rFonts w:ascii="宋体" w:hAnsi="宋体"/>
          <w:position w:val="-12"/>
          <w:szCs w:val="21"/>
        </w:rPr>
        <w:pict>
          <v:shape id="图片 31" o:spid="_x0000_i1176" type="#_x0000_t75" style="width:15.75pt;height:18pt">
            <v:imagedata r:id="rId227" o:title=""/>
          </v:shape>
        </w:pict>
      </w:r>
      <w:r>
        <w:rPr>
          <w:rFonts w:ascii="宋体" w:hAnsi="宋体" w:hint="eastAsia"/>
          <w:szCs w:val="21"/>
        </w:rPr>
        <w:t>的总方差的共吸纳</w:t>
      </w:r>
      <w:r>
        <w:rPr>
          <w:rFonts w:ascii="宋体" w:hAnsi="宋体" w:hint="eastAsia"/>
          <w:szCs w:val="21"/>
        </w:rPr>
        <w:lastRenderedPageBreak/>
        <w:t>称为公因子方差，第二部分</w:t>
      </w:r>
      <w:r>
        <w:rPr>
          <w:rFonts w:ascii="宋体" w:hAnsi="宋体"/>
          <w:position w:val="-12"/>
          <w:szCs w:val="21"/>
        </w:rPr>
        <w:pict>
          <v:shape id="图片 32" o:spid="_x0000_i1177" type="#_x0000_t75" style="width:17.25pt;height:20.25pt">
            <v:imagedata r:id="rId230" o:title=""/>
          </v:shape>
        </w:pict>
      </w:r>
      <w:r>
        <w:rPr>
          <w:rFonts w:ascii="宋体" w:hAnsi="宋体" w:hint="eastAsia"/>
          <w:szCs w:val="21"/>
        </w:rPr>
        <w:t>是由特殊因子产生的方差，仅与变量</w:t>
      </w:r>
      <w:r>
        <w:rPr>
          <w:rFonts w:ascii="宋体" w:hAnsi="宋体"/>
          <w:position w:val="-12"/>
          <w:szCs w:val="21"/>
        </w:rPr>
        <w:pict>
          <v:shape id="图片 33" o:spid="_x0000_i1178" type="#_x0000_t75" style="width:15.75pt;height:18pt">
            <v:imagedata r:id="rId227" o:title=""/>
          </v:shape>
        </w:pict>
      </w:r>
      <w:r>
        <w:rPr>
          <w:rFonts w:ascii="宋体" w:hAnsi="宋体" w:hint="eastAsia"/>
          <w:szCs w:val="21"/>
        </w:rPr>
        <w:t>有关，亦称剩余方差</w:t>
      </w:r>
      <w:r>
        <w:rPr>
          <w:rFonts w:ascii="宋体" w:hAnsi="宋体" w:hint="eastAsia"/>
          <w:szCs w:val="21"/>
          <w:vertAlign w:val="superscript"/>
        </w:rPr>
        <w:t>[1]</w: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在因子载荷矩阵中，求得</w:t>
      </w:r>
      <w:r>
        <w:rPr>
          <w:rFonts w:ascii="宋体" w:hAnsi="宋体"/>
          <w:position w:val="-4"/>
          <w:szCs w:val="21"/>
        </w:rPr>
        <w:pict>
          <v:shape id="图片 34" o:spid="_x0000_i1179" type="#_x0000_t75" style="width:12pt;height:12.75pt">
            <v:imagedata r:id="rId231" o:title=""/>
          </v:shape>
        </w:pict>
      </w:r>
      <w:r>
        <w:rPr>
          <w:rFonts w:ascii="宋体" w:hAnsi="宋体" w:hint="eastAsia"/>
          <w:szCs w:val="21"/>
        </w:rPr>
        <w:t>的各列平方和，记为</w:t>
      </w:r>
      <w:r>
        <w:rPr>
          <w:rFonts w:ascii="宋体" w:hAnsi="宋体"/>
          <w:position w:val="-14"/>
          <w:szCs w:val="21"/>
        </w:rPr>
        <w:pict>
          <v:shape id="图片 35" o:spid="_x0000_i1180" type="#_x0000_t75" style="width:15pt;height:21pt">
            <v:imagedata r:id="rId232" o:title=""/>
          </v:shape>
        </w:pic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position w:val="-30"/>
          <w:szCs w:val="21"/>
        </w:rPr>
        <w:pict>
          <v:shape id="图片 36" o:spid="_x0000_i1181" type="#_x0000_t75" style="width:120pt;height:36.75pt">
            <v:imagedata r:id="rId233" o:title=""/>
          </v:shape>
        </w:pict>
      </w:r>
      <w:r>
        <w:rPr>
          <w:rFonts w:ascii="宋体" w:hAnsi="宋体" w:hint="eastAsia"/>
          <w:szCs w:val="21"/>
        </w:rPr>
        <w:t>，</w:t>
      </w:r>
      <w:r>
        <w:rPr>
          <w:rFonts w:ascii="宋体" w:hAnsi="宋体"/>
          <w:position w:val="-14"/>
          <w:szCs w:val="21"/>
        </w:rPr>
        <w:pict>
          <v:shape id="图片 37" o:spid="_x0000_i1182" type="#_x0000_t75" style="width:15pt;height:21pt">
            <v:imagedata r:id="rId232" o:title=""/>
          </v:shape>
        </w:pict>
      </w:r>
      <w:r>
        <w:rPr>
          <w:rFonts w:ascii="宋体" w:hAnsi="宋体" w:hint="eastAsia"/>
          <w:szCs w:val="21"/>
        </w:rPr>
        <w:t>表示第</w:t>
      </w:r>
      <w:r>
        <w:rPr>
          <w:rFonts w:ascii="宋体" w:hAnsi="宋体"/>
          <w:position w:val="-10"/>
          <w:szCs w:val="21"/>
        </w:rPr>
        <w:pict>
          <v:shape id="图片 38" o:spid="_x0000_i1183" type="#_x0000_t75" style="width:9.75pt;height:15pt">
            <v:imagedata r:id="rId225" o:title=""/>
          </v:shape>
        </w:pict>
      </w:r>
      <w:proofErr w:type="gramStart"/>
      <w:r>
        <w:rPr>
          <w:rFonts w:ascii="宋体" w:hAnsi="宋体" w:hint="eastAsia"/>
          <w:szCs w:val="21"/>
        </w:rPr>
        <w:t>个</w:t>
      </w:r>
      <w:proofErr w:type="gramEnd"/>
      <w:r>
        <w:rPr>
          <w:rFonts w:ascii="宋体" w:hAnsi="宋体" w:hint="eastAsia"/>
          <w:szCs w:val="21"/>
        </w:rPr>
        <w:t>公因子对</w:t>
      </w:r>
      <w:r>
        <w:rPr>
          <w:rFonts w:ascii="宋体" w:hAnsi="宋体"/>
          <w:position w:val="-4"/>
          <w:szCs w:val="21"/>
        </w:rPr>
        <w:pict>
          <v:shape id="图片 39" o:spid="_x0000_i1184" type="#_x0000_t75" style="width:14.25pt;height:12.75pt">
            <v:imagedata r:id="rId234" o:title=""/>
          </v:shape>
        </w:pict>
      </w:r>
      <w:r>
        <w:rPr>
          <w:rFonts w:ascii="宋体" w:hAnsi="宋体" w:hint="eastAsia"/>
          <w:szCs w:val="21"/>
        </w:rPr>
        <w:t>的所有分量的总影响，</w:t>
      </w:r>
      <w:r>
        <w:rPr>
          <w:rFonts w:ascii="宋体" w:hAnsi="宋体"/>
          <w:position w:val="-14"/>
          <w:szCs w:val="21"/>
        </w:rPr>
        <w:pict>
          <v:shape id="图片 40" o:spid="_x0000_i1185" type="#_x0000_t75" style="width:15pt;height:21pt">
            <v:imagedata r:id="rId232" o:title=""/>
          </v:shape>
        </w:pict>
      </w:r>
      <w:r>
        <w:rPr>
          <w:rFonts w:ascii="宋体" w:hAnsi="宋体" w:hint="eastAsia"/>
          <w:szCs w:val="21"/>
        </w:rPr>
        <w:t>越大，</w:t>
      </w:r>
      <w:r>
        <w:rPr>
          <w:rFonts w:ascii="宋体" w:hAnsi="宋体"/>
          <w:position w:val="-14"/>
          <w:szCs w:val="21"/>
        </w:rPr>
        <w:pict>
          <v:shape id="图片 41" o:spid="_x0000_i1186" type="#_x0000_t75" style="width:15pt;height:18.75pt">
            <v:imagedata r:id="rId235" o:title=""/>
          </v:shape>
        </w:pict>
      </w:r>
      <w:r>
        <w:rPr>
          <w:rFonts w:ascii="宋体" w:hAnsi="宋体" w:hint="eastAsia"/>
          <w:szCs w:val="21"/>
        </w:rPr>
        <w:t>对</w:t>
      </w:r>
      <w:r>
        <w:rPr>
          <w:rFonts w:ascii="宋体" w:hAnsi="宋体"/>
          <w:position w:val="-4"/>
          <w:szCs w:val="21"/>
        </w:rPr>
        <w:pict>
          <v:shape id="图片 42" o:spid="_x0000_i1187" type="#_x0000_t75" style="width:14.25pt;height:12.75pt">
            <v:imagedata r:id="rId236" o:title=""/>
          </v:shape>
        </w:pict>
      </w:r>
      <w:r>
        <w:rPr>
          <w:rFonts w:ascii="宋体" w:hAnsi="宋体" w:hint="eastAsia"/>
          <w:szCs w:val="21"/>
        </w:rPr>
        <w:t>的贡献就越大。</w:t>
      </w:r>
    </w:p>
    <w:p w:rsidR="004165EC" w:rsidRDefault="00C97C8E">
      <w:pPr>
        <w:spacing w:line="360" w:lineRule="auto"/>
        <w:rPr>
          <w:rFonts w:ascii="黑体" w:eastAsia="黑体" w:hAnsi="宋体"/>
          <w:b/>
          <w:szCs w:val="21"/>
        </w:rPr>
      </w:pPr>
      <w:r>
        <w:rPr>
          <w:rFonts w:ascii="黑体" w:eastAsia="黑体" w:hAnsi="宋体" w:hint="eastAsia"/>
          <w:b/>
          <w:szCs w:val="21"/>
        </w:rPr>
        <w:t>2.2  参数估计方法</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假设已知</w:t>
      </w:r>
      <w:r>
        <w:rPr>
          <w:rFonts w:ascii="宋体" w:hAnsi="宋体"/>
          <w:position w:val="-10"/>
          <w:szCs w:val="21"/>
        </w:rPr>
        <w:pict>
          <v:shape id="图片 43" o:spid="_x0000_i1188" type="#_x0000_t75" style="width:12pt;height:12.75pt">
            <v:imagedata r:id="rId237" o:title=""/>
          </v:shape>
        </w:pict>
      </w:r>
      <w:proofErr w:type="gramStart"/>
      <w:r>
        <w:rPr>
          <w:rFonts w:ascii="宋体" w:hAnsi="宋体" w:hint="eastAsia"/>
          <w:szCs w:val="21"/>
        </w:rPr>
        <w:t>个</w:t>
      </w:r>
      <w:proofErr w:type="gramEnd"/>
      <w:r>
        <w:rPr>
          <w:rFonts w:ascii="宋体" w:hAnsi="宋体" w:hint="eastAsia"/>
          <w:szCs w:val="21"/>
        </w:rPr>
        <w:t>相关变量的</w:t>
      </w:r>
      <w:r>
        <w:rPr>
          <w:rFonts w:ascii="宋体" w:hAnsi="宋体"/>
          <w:position w:val="-6"/>
          <w:szCs w:val="21"/>
        </w:rPr>
        <w:pict>
          <v:shape id="图片 44" o:spid="_x0000_i1189" type="#_x0000_t75" style="width:9.75pt;height:11.25pt">
            <v:imagedata r:id="rId238" o:title=""/>
          </v:shape>
        </w:pict>
      </w:r>
      <w:r>
        <w:rPr>
          <w:rFonts w:ascii="宋体" w:hAnsi="宋体" w:hint="eastAsia"/>
          <w:szCs w:val="21"/>
        </w:rPr>
        <w:t>次观测值为</w:t>
      </w:r>
      <w:r>
        <w:rPr>
          <w:rFonts w:ascii="宋体" w:hAnsi="宋体"/>
          <w:position w:val="-14"/>
          <w:szCs w:val="21"/>
        </w:rPr>
        <w:pict>
          <v:shape id="图片 45" o:spid="_x0000_i1190" type="#_x0000_t75" style="width:180pt;height:21pt">
            <v:imagedata r:id="rId239" o:title=""/>
          </v:shape>
        </w:pict>
      </w:r>
      <w:r>
        <w:rPr>
          <w:rFonts w:ascii="宋体" w:hAnsi="宋体" w:hint="eastAsia"/>
          <w:szCs w:val="21"/>
        </w:rPr>
        <w:t>。因子分析的目标是用少数几个公共因子（设为</w:t>
      </w:r>
      <w:r>
        <w:rPr>
          <w:rFonts w:ascii="宋体" w:hAnsi="宋体"/>
          <w:position w:val="-6"/>
          <w:szCs w:val="21"/>
        </w:rPr>
        <w:pict>
          <v:shape id="图片 46" o:spid="_x0000_i1191" type="#_x0000_t75" style="width:12.75pt;height:11.25pt">
            <v:imagedata r:id="rId240" o:title=""/>
          </v:shape>
        </w:pict>
      </w:r>
      <w:proofErr w:type="gramStart"/>
      <w:r>
        <w:rPr>
          <w:rFonts w:ascii="宋体" w:hAnsi="宋体" w:hint="eastAsia"/>
          <w:szCs w:val="21"/>
        </w:rPr>
        <w:t>个</w:t>
      </w:r>
      <w:proofErr w:type="gramEnd"/>
      <w:r>
        <w:rPr>
          <w:rFonts w:ascii="宋体" w:hAnsi="宋体" w:hint="eastAsia"/>
          <w:szCs w:val="21"/>
        </w:rPr>
        <w:t>）描述</w:t>
      </w:r>
      <w:r>
        <w:rPr>
          <w:rFonts w:ascii="宋体" w:hAnsi="宋体"/>
          <w:position w:val="-10"/>
          <w:szCs w:val="21"/>
        </w:rPr>
        <w:pict>
          <v:shape id="图片 47" o:spid="_x0000_i1192" type="#_x0000_t75" style="width:12pt;height:12.75pt">
            <v:imagedata r:id="rId241" o:title=""/>
          </v:shape>
        </w:pict>
      </w:r>
      <w:proofErr w:type="gramStart"/>
      <w:r>
        <w:rPr>
          <w:rFonts w:ascii="宋体" w:hAnsi="宋体" w:hint="eastAsia"/>
          <w:szCs w:val="21"/>
        </w:rPr>
        <w:t>个</w:t>
      </w:r>
      <w:proofErr w:type="gramEnd"/>
      <w:r>
        <w:rPr>
          <w:rFonts w:ascii="宋体" w:hAnsi="宋体" w:hint="eastAsia"/>
          <w:szCs w:val="21"/>
        </w:rPr>
        <w:t>描述变量的协方差结构，即：</w:t>
      </w:r>
      <w:r>
        <w:rPr>
          <w:rFonts w:ascii="宋体" w:hAnsi="宋体"/>
          <w:position w:val="-4"/>
          <w:szCs w:val="21"/>
        </w:rPr>
        <w:pict>
          <v:shape id="图片 48" o:spid="_x0000_i1193" type="#_x0000_t75" style="width:63pt;height:15.75pt">
            <v:imagedata r:id="rId242" o:title=""/>
          </v:shape>
        </w:pict>
      </w:r>
      <w:r>
        <w:rPr>
          <w:rFonts w:ascii="宋体" w:hAnsi="宋体" w:hint="eastAsia"/>
          <w:szCs w:val="21"/>
        </w:rPr>
        <w:t>。</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由</w:t>
      </w:r>
      <w:r>
        <w:rPr>
          <w:rFonts w:ascii="宋体" w:hAnsi="宋体"/>
          <w:position w:val="-10"/>
          <w:szCs w:val="21"/>
        </w:rPr>
        <w:pict>
          <v:shape id="图片 49" o:spid="_x0000_i1194" type="#_x0000_t75" style="width:12pt;height:12.75pt">
            <v:imagedata r:id="rId237" o:title=""/>
          </v:shape>
        </w:pict>
      </w:r>
      <w:proofErr w:type="gramStart"/>
      <w:r>
        <w:rPr>
          <w:rFonts w:ascii="宋体" w:hAnsi="宋体" w:hint="eastAsia"/>
          <w:szCs w:val="21"/>
        </w:rPr>
        <w:t>个</w:t>
      </w:r>
      <w:proofErr w:type="gramEnd"/>
      <w:r>
        <w:rPr>
          <w:rFonts w:ascii="宋体" w:hAnsi="宋体" w:hint="eastAsia"/>
          <w:szCs w:val="21"/>
        </w:rPr>
        <w:t>相关变量的观测值计算出样本相关阵</w:t>
      </w:r>
      <w:r>
        <w:rPr>
          <w:rFonts w:ascii="宋体" w:hAnsi="宋体"/>
          <w:position w:val="-4"/>
          <w:szCs w:val="21"/>
        </w:rPr>
        <w:pict>
          <v:shape id="图片 50" o:spid="_x0000_i1195" type="#_x0000_t75" style="width:12pt;height:12.75pt">
            <v:imagedata r:id="rId243" o:title=""/>
          </v:shape>
        </w:pict>
      </w:r>
      <w:r>
        <w:rPr>
          <w:rFonts w:ascii="宋体" w:hAnsi="宋体" w:hint="eastAsia"/>
          <w:szCs w:val="21"/>
        </w:rPr>
        <w:t>作为协方差阵</w:t>
      </w:r>
      <w:r>
        <w:rPr>
          <w:rFonts w:ascii="宋体" w:hAnsi="宋体"/>
          <w:position w:val="-4"/>
          <w:szCs w:val="21"/>
        </w:rPr>
        <w:pict>
          <v:shape id="图片 51" o:spid="_x0000_i1196" type="#_x0000_t75" style="width:11.25pt;height:12pt">
            <v:imagedata r:id="rId244" o:title=""/>
          </v:shape>
        </w:pict>
      </w:r>
      <w:r>
        <w:rPr>
          <w:rFonts w:ascii="宋体" w:hAnsi="宋体" w:hint="eastAsia"/>
          <w:szCs w:val="21"/>
        </w:rPr>
        <w:t>的估计，为了建立因子模型，首先要估计出因子载荷矩</w:t>
      </w:r>
      <w:r>
        <w:rPr>
          <w:rFonts w:ascii="宋体" w:hAnsi="宋体"/>
          <w:position w:val="-14"/>
          <w:szCs w:val="21"/>
        </w:rPr>
        <w:pict>
          <v:shape id="图片 52" o:spid="_x0000_i1197" type="#_x0000_t75" style="width:42pt;height:21pt">
            <v:imagedata r:id="rId245" o:title=""/>
          </v:shape>
        </w:pict>
      </w:r>
      <w:r>
        <w:rPr>
          <w:rFonts w:ascii="宋体" w:hAnsi="宋体" w:hint="eastAsia"/>
          <w:szCs w:val="21"/>
        </w:rPr>
        <w:t>。常用的估计方法有三种：主成分法、主因子法和极大似然法。下面着重介绍一下主成分法。</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设样本相关阵</w:t>
      </w:r>
      <w:r>
        <w:rPr>
          <w:rFonts w:ascii="宋体" w:hAnsi="宋体"/>
          <w:position w:val="-4"/>
          <w:szCs w:val="21"/>
        </w:rPr>
        <w:pict>
          <v:shape id="图片 53" o:spid="_x0000_i1198" type="#_x0000_t75" style="width:12pt;height:12.75pt">
            <v:imagedata r:id="rId246" o:title=""/>
          </v:shape>
        </w:pict>
      </w:r>
      <w:r>
        <w:rPr>
          <w:rFonts w:ascii="宋体" w:hAnsi="宋体" w:hint="eastAsia"/>
          <w:szCs w:val="21"/>
        </w:rPr>
        <w:t>的特征值为</w:t>
      </w:r>
      <w:r>
        <w:rPr>
          <w:rFonts w:ascii="宋体" w:hAnsi="宋体"/>
          <w:position w:val="-14"/>
          <w:szCs w:val="21"/>
        </w:rPr>
        <w:pict>
          <v:shape id="图片 54" o:spid="_x0000_i1199" type="#_x0000_t75" style="width:106.5pt;height:18.75pt">
            <v:imagedata r:id="rId247" o:title=""/>
          </v:shape>
        </w:pict>
      </w:r>
      <w:r>
        <w:rPr>
          <w:rFonts w:ascii="宋体" w:hAnsi="宋体" w:hint="eastAsia"/>
          <w:szCs w:val="21"/>
        </w:rPr>
        <w:t>，相应的单位正交特征向量为</w:t>
      </w:r>
      <w:r>
        <w:rPr>
          <w:rFonts w:ascii="宋体" w:hAnsi="宋体"/>
          <w:position w:val="-14"/>
          <w:szCs w:val="21"/>
        </w:rPr>
        <w:pict>
          <v:shape id="图片 55" o:spid="_x0000_i1200" type="#_x0000_t75" style="width:54pt;height:18.75pt">
            <v:imagedata r:id="rId248" o:title=""/>
          </v:shape>
        </w:pict>
      </w:r>
      <w:r>
        <w:rPr>
          <w:rFonts w:ascii="宋体" w:hAnsi="宋体" w:hint="eastAsia"/>
          <w:szCs w:val="21"/>
        </w:rPr>
        <w:t>，则</w:t>
      </w:r>
      <w:r>
        <w:rPr>
          <w:rFonts w:ascii="宋体" w:hAnsi="宋体"/>
          <w:position w:val="-4"/>
          <w:szCs w:val="21"/>
        </w:rPr>
        <w:pict>
          <v:shape id="图片 56" o:spid="_x0000_i1201" type="#_x0000_t75" style="width:12pt;height:12.75pt">
            <v:imagedata r:id="rId249" o:title=""/>
          </v:shape>
        </w:pict>
      </w:r>
      <w:r>
        <w:rPr>
          <w:rFonts w:ascii="宋体" w:hAnsi="宋体" w:hint="eastAsia"/>
          <w:szCs w:val="21"/>
        </w:rPr>
        <w:t>的谱分解式为</w:t>
      </w:r>
      <w:r>
        <w:rPr>
          <w:rFonts w:ascii="宋体" w:hAnsi="宋体"/>
          <w:position w:val="-30"/>
          <w:szCs w:val="21"/>
        </w:rPr>
        <w:pict>
          <v:shape id="图片 57" o:spid="_x0000_i1202" type="#_x0000_t75" style="width:60.75pt;height:36.75pt">
            <v:imagedata r:id="rId250" o:title=""/>
          </v:shape>
        </w:pict>
      </w:r>
      <w:r>
        <w:rPr>
          <w:rFonts w:ascii="宋体" w:hAnsi="宋体" w:hint="eastAsia"/>
          <w:szCs w:val="21"/>
        </w:rPr>
        <w:t>。当最后</w:t>
      </w:r>
      <w:r>
        <w:rPr>
          <w:rFonts w:ascii="宋体" w:hAnsi="宋体"/>
          <w:position w:val="-10"/>
          <w:szCs w:val="21"/>
        </w:rPr>
        <w:pict>
          <v:shape id="图片 58" o:spid="_x0000_i1203" type="#_x0000_t75" style="width:32.25pt;height:12.75pt">
            <v:imagedata r:id="rId251" o:title=""/>
          </v:shape>
        </w:pict>
      </w:r>
      <w:proofErr w:type="gramStart"/>
      <w:r>
        <w:rPr>
          <w:rFonts w:ascii="宋体" w:hAnsi="宋体" w:hint="eastAsia"/>
          <w:szCs w:val="21"/>
        </w:rPr>
        <w:t>个</w:t>
      </w:r>
      <w:proofErr w:type="gramEnd"/>
      <w:r>
        <w:rPr>
          <w:rFonts w:ascii="宋体" w:hAnsi="宋体" w:hint="eastAsia"/>
          <w:szCs w:val="21"/>
        </w:rPr>
        <w:t>特征值较小时，</w:t>
      </w:r>
      <w:r>
        <w:rPr>
          <w:rFonts w:ascii="宋体" w:hAnsi="宋体"/>
          <w:position w:val="-4"/>
          <w:szCs w:val="21"/>
        </w:rPr>
        <w:pict>
          <v:shape id="图片 59" o:spid="_x0000_i1204" type="#_x0000_t75" style="width:12pt;height:12.75pt">
            <v:imagedata r:id="rId252" o:title=""/>
          </v:shape>
        </w:pict>
      </w:r>
      <w:r>
        <w:rPr>
          <w:rFonts w:ascii="宋体" w:hAnsi="宋体" w:hint="eastAsia"/>
          <w:szCs w:val="21"/>
        </w:rPr>
        <w:t>可以近似的分解为：</w:t>
      </w:r>
    </w:p>
    <w:p w:rsidR="004165EC" w:rsidRDefault="00C97C8E">
      <w:pPr>
        <w:tabs>
          <w:tab w:val="left" w:pos="5415"/>
        </w:tabs>
        <w:spacing w:line="360" w:lineRule="auto"/>
        <w:ind w:firstLineChars="200" w:firstLine="420"/>
        <w:rPr>
          <w:rFonts w:ascii="宋体" w:hAnsi="宋体"/>
          <w:szCs w:val="21"/>
        </w:rPr>
      </w:pPr>
      <w:r>
        <w:rPr>
          <w:rFonts w:ascii="宋体" w:hAnsi="宋体"/>
          <w:position w:val="-98"/>
          <w:szCs w:val="21"/>
        </w:rPr>
        <w:pict>
          <v:shape id="图片 60" o:spid="_x0000_i1205" type="#_x0000_t75" style="width:251.25pt;height:104.25pt">
            <v:imagedata r:id="rId253" o:title=""/>
          </v:shape>
        </w:pic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其中：</w:t>
      </w:r>
    </w:p>
    <w:p w:rsidR="004165EC" w:rsidRDefault="00C97C8E">
      <w:pPr>
        <w:tabs>
          <w:tab w:val="left" w:pos="5415"/>
        </w:tabs>
        <w:spacing w:line="360" w:lineRule="auto"/>
        <w:ind w:firstLineChars="200" w:firstLine="420"/>
        <w:rPr>
          <w:rFonts w:ascii="宋体" w:hAnsi="宋体"/>
          <w:szCs w:val="21"/>
        </w:rPr>
      </w:pPr>
      <w:r>
        <w:rPr>
          <w:rFonts w:ascii="宋体" w:hAnsi="宋体"/>
          <w:position w:val="-60"/>
          <w:szCs w:val="21"/>
        </w:rPr>
        <w:pict>
          <v:shape id="图片 61" o:spid="_x0000_i1206" type="#_x0000_t75" style="width:171.75pt;height:66pt">
            <v:imagedata r:id="rId254" o:title=""/>
          </v:shape>
        </w:pic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上式给出的</w:t>
      </w:r>
      <w:r>
        <w:rPr>
          <w:rFonts w:ascii="宋体" w:hAnsi="宋体"/>
          <w:position w:val="-6"/>
          <w:szCs w:val="21"/>
        </w:rPr>
        <w:pict>
          <v:shape id="图片 62" o:spid="_x0000_i1207" type="#_x0000_t75" style="width:33pt;height:15pt">
            <v:imagedata r:id="rId255" o:title=""/>
          </v:shape>
        </w:pict>
      </w:r>
      <w:r>
        <w:rPr>
          <w:rFonts w:ascii="宋体" w:hAnsi="宋体" w:hint="eastAsia"/>
          <w:szCs w:val="21"/>
        </w:rPr>
        <w:t>就是因子模型的一个解，由此可看出因子载荷矩阵</w:t>
      </w:r>
      <w:r>
        <w:rPr>
          <w:rFonts w:ascii="宋体" w:hAnsi="宋体"/>
          <w:position w:val="-4"/>
          <w:szCs w:val="21"/>
        </w:rPr>
        <w:pict>
          <v:shape id="图片 63" o:spid="_x0000_i1208" type="#_x0000_t75" style="width:12pt;height:12.75pt">
            <v:imagedata r:id="rId256" o:title=""/>
          </v:shape>
        </w:pict>
      </w:r>
      <w:r>
        <w:rPr>
          <w:rFonts w:ascii="宋体" w:hAnsi="宋体" w:hint="eastAsia"/>
          <w:szCs w:val="21"/>
        </w:rPr>
        <w:t>中的第</w:t>
      </w:r>
      <w:r>
        <w:rPr>
          <w:rFonts w:ascii="宋体" w:hAnsi="宋体"/>
          <w:position w:val="-10"/>
          <w:szCs w:val="21"/>
        </w:rPr>
        <w:pict>
          <v:shape id="图片 64" o:spid="_x0000_i1209" type="#_x0000_t75" style="width:9.75pt;height:15pt">
            <v:imagedata r:id="rId257" o:title=""/>
          </v:shape>
        </w:pict>
      </w:r>
      <w:r>
        <w:rPr>
          <w:rFonts w:ascii="宋体" w:hAnsi="宋体" w:hint="eastAsia"/>
          <w:szCs w:val="21"/>
        </w:rPr>
        <w:t>列（即</w:t>
      </w:r>
      <w:r>
        <w:rPr>
          <w:rFonts w:ascii="宋体" w:hAnsi="宋体" w:hint="eastAsia"/>
          <w:szCs w:val="21"/>
        </w:rPr>
        <w:lastRenderedPageBreak/>
        <w:t>第</w:t>
      </w:r>
      <w:r>
        <w:rPr>
          <w:rFonts w:ascii="宋体" w:hAnsi="宋体"/>
          <w:position w:val="-10"/>
          <w:szCs w:val="21"/>
        </w:rPr>
        <w:pict>
          <v:shape id="图片 65" o:spid="_x0000_i1210" type="#_x0000_t75" style="width:9.75pt;height:15pt">
            <v:imagedata r:id="rId258" o:title=""/>
          </v:shape>
        </w:pict>
      </w:r>
      <w:proofErr w:type="gramStart"/>
      <w:r>
        <w:rPr>
          <w:rFonts w:ascii="宋体" w:hAnsi="宋体" w:hint="eastAsia"/>
          <w:szCs w:val="21"/>
        </w:rPr>
        <w:t>个</w:t>
      </w:r>
      <w:proofErr w:type="gramEnd"/>
      <w:r>
        <w:rPr>
          <w:rFonts w:ascii="宋体" w:hAnsi="宋体" w:hint="eastAsia"/>
          <w:szCs w:val="21"/>
        </w:rPr>
        <w:t>公共因子</w:t>
      </w:r>
      <w:r>
        <w:rPr>
          <w:rFonts w:ascii="宋体" w:hAnsi="宋体"/>
          <w:position w:val="-14"/>
          <w:szCs w:val="21"/>
        </w:rPr>
        <w:pict>
          <v:shape id="图片 66" o:spid="_x0000_i1211" type="#_x0000_t75" style="width:15pt;height:18.75pt">
            <v:imagedata r:id="rId259" o:title=""/>
          </v:shape>
        </w:pict>
      </w:r>
      <w:r>
        <w:rPr>
          <w:rFonts w:ascii="宋体" w:hAnsi="宋体" w:hint="eastAsia"/>
          <w:szCs w:val="21"/>
        </w:rPr>
        <w:t>在</w:t>
      </w:r>
      <w:r>
        <w:rPr>
          <w:rFonts w:ascii="宋体" w:hAnsi="宋体"/>
          <w:position w:val="-4"/>
          <w:szCs w:val="21"/>
        </w:rPr>
        <w:pict>
          <v:shape id="图片 67" o:spid="_x0000_i1212" type="#_x0000_t75" style="width:14.25pt;height:12.75pt">
            <v:imagedata r:id="rId260" o:title=""/>
          </v:shape>
        </w:pict>
      </w:r>
      <w:r>
        <w:rPr>
          <w:rFonts w:ascii="宋体" w:hAnsi="宋体" w:hint="eastAsia"/>
          <w:szCs w:val="21"/>
        </w:rPr>
        <w:t>上的载荷）和</w:t>
      </w:r>
      <w:r>
        <w:rPr>
          <w:rFonts w:ascii="宋体" w:hAnsi="宋体"/>
          <w:position w:val="-4"/>
          <w:szCs w:val="21"/>
        </w:rPr>
        <w:pict>
          <v:shape id="图片 68" o:spid="_x0000_i1213" type="#_x0000_t75" style="width:14.25pt;height:12.75pt">
            <v:imagedata r:id="rId261" o:title=""/>
          </v:shape>
        </w:pict>
      </w:r>
      <w:r>
        <w:rPr>
          <w:rFonts w:ascii="宋体" w:hAnsi="宋体" w:hint="eastAsia"/>
          <w:szCs w:val="21"/>
        </w:rPr>
        <w:t>的第</w:t>
      </w:r>
      <w:r>
        <w:rPr>
          <w:rFonts w:ascii="宋体" w:hAnsi="宋体"/>
          <w:position w:val="-10"/>
          <w:szCs w:val="21"/>
        </w:rPr>
        <w:pict>
          <v:shape id="图片 69" o:spid="_x0000_i1214" type="#_x0000_t75" style="width:9.75pt;height:15pt">
            <v:imagedata r:id="rId262" o:title=""/>
          </v:shape>
        </w:pict>
      </w:r>
      <w:proofErr w:type="gramStart"/>
      <w:r>
        <w:rPr>
          <w:rFonts w:ascii="宋体" w:hAnsi="宋体" w:hint="eastAsia"/>
          <w:szCs w:val="21"/>
        </w:rPr>
        <w:t>个</w:t>
      </w:r>
      <w:proofErr w:type="gramEnd"/>
      <w:r>
        <w:rPr>
          <w:rFonts w:ascii="宋体" w:hAnsi="宋体" w:hint="eastAsia"/>
          <w:szCs w:val="21"/>
        </w:rPr>
        <w:t>主成分之间相差一个倍数</w:t>
      </w:r>
      <w:r>
        <w:rPr>
          <w:rFonts w:ascii="宋体" w:hAnsi="宋体"/>
          <w:position w:val="-16"/>
          <w:szCs w:val="21"/>
        </w:rPr>
        <w:pict>
          <v:shape id="图片 70" o:spid="_x0000_i1215" type="#_x0000_t75" style="width:103.5pt;height:21.75pt">
            <v:imagedata r:id="rId263" o:title=""/>
          </v:shape>
        </w:pict>
      </w:r>
      <w:r>
        <w:rPr>
          <w:rFonts w:ascii="宋体" w:hAnsi="宋体" w:hint="eastAsia"/>
          <w:szCs w:val="21"/>
        </w:rPr>
        <w:t>，所以上式给出的</w:t>
      </w:r>
      <w:proofErr w:type="gramStart"/>
      <w:r>
        <w:rPr>
          <w:rFonts w:ascii="宋体" w:hAnsi="宋体" w:hint="eastAsia"/>
          <w:szCs w:val="21"/>
        </w:rPr>
        <w:t>解称为</w:t>
      </w:r>
      <w:proofErr w:type="gramEnd"/>
      <w:r>
        <w:rPr>
          <w:rFonts w:ascii="宋体" w:hAnsi="宋体" w:hint="eastAsia"/>
          <w:szCs w:val="21"/>
        </w:rPr>
        <w:t>因子模型的主成分解。</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记</w:t>
      </w:r>
      <w:r>
        <w:rPr>
          <w:rFonts w:ascii="宋体" w:hAnsi="宋体"/>
          <w:position w:val="-14"/>
          <w:szCs w:val="21"/>
        </w:rPr>
        <w:pict>
          <v:shape id="图片 71" o:spid="_x0000_i1216" type="#_x0000_t75" style="width:141.75pt;height:27pt">
            <v:imagedata r:id="rId264" o:title=""/>
          </v:shape>
        </w:pict>
      </w:r>
      <w:r>
        <w:rPr>
          <w:rFonts w:ascii="宋体" w:hAnsi="宋体" w:hint="eastAsia"/>
          <w:szCs w:val="21"/>
        </w:rPr>
        <w:t>，则有</w:t>
      </w:r>
      <w:r>
        <w:rPr>
          <w:rFonts w:ascii="宋体" w:hAnsi="宋体"/>
          <w:position w:val="-34"/>
          <w:szCs w:val="21"/>
        </w:rPr>
        <w:pict>
          <v:shape id="图片 72" o:spid="_x0000_i1217" type="#_x0000_t75" style="width:164.25pt;height:39pt">
            <v:imagedata r:id="rId265" o:title=""/>
          </v:shape>
        </w:pict>
      </w:r>
      <w:r>
        <w:rPr>
          <w:rFonts w:ascii="宋体" w:hAnsi="宋体" w:hint="eastAsia"/>
          <w:szCs w:val="21"/>
        </w:rPr>
        <w:t>。</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证明：</w:t>
      </w:r>
    </w:p>
    <w:p w:rsidR="004165EC" w:rsidRDefault="00C97C8E">
      <w:pPr>
        <w:tabs>
          <w:tab w:val="left" w:pos="5415"/>
        </w:tabs>
        <w:spacing w:line="360" w:lineRule="auto"/>
        <w:ind w:firstLineChars="200" w:firstLine="420"/>
        <w:rPr>
          <w:rFonts w:ascii="宋体" w:hAnsi="宋体"/>
          <w:szCs w:val="21"/>
        </w:rPr>
      </w:pPr>
      <w:r>
        <w:rPr>
          <w:rFonts w:ascii="宋体" w:hAnsi="宋体"/>
          <w:position w:val="-186"/>
          <w:szCs w:val="21"/>
        </w:rPr>
        <w:pict>
          <v:shape id="图片 73" o:spid="_x0000_i1218" type="#_x0000_t75" style="width:272.25pt;height:192pt">
            <v:imagedata r:id="rId266" o:title=""/>
          </v:shape>
        </w:pict>
      </w:r>
      <w:r>
        <w:rPr>
          <w:rFonts w:ascii="宋体" w:hAnsi="宋体" w:hint="eastAsia"/>
          <w:szCs w:val="21"/>
        </w:rPr>
        <w:t xml:space="preserve">  </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因此如果选择合适的</w:t>
      </w:r>
      <w:r>
        <w:rPr>
          <w:rFonts w:ascii="宋体" w:hAnsi="宋体"/>
          <w:position w:val="-6"/>
          <w:szCs w:val="21"/>
        </w:rPr>
        <w:pict>
          <v:shape id="图片 74" o:spid="_x0000_i1219" type="#_x0000_t75" style="width:12.75pt;height:11.25pt">
            <v:imagedata r:id="rId267" o:title=""/>
          </v:shape>
        </w:pict>
      </w:r>
      <w:r>
        <w:rPr>
          <w:rFonts w:ascii="宋体" w:hAnsi="宋体" w:hint="eastAsia"/>
          <w:szCs w:val="21"/>
        </w:rPr>
        <w:t>，则可以使得近似式的误差平方和</w:t>
      </w:r>
      <w:r>
        <w:rPr>
          <w:rFonts w:ascii="宋体" w:hAnsi="宋体"/>
          <w:position w:val="-10"/>
          <w:szCs w:val="21"/>
        </w:rPr>
        <w:pict>
          <v:shape id="图片 75" o:spid="_x0000_i1220" type="#_x0000_t75" style="width:30pt;height:15.75pt">
            <v:imagedata r:id="rId268" o:title=""/>
          </v:shape>
        </w:pict>
      </w:r>
      <w:r>
        <w:rPr>
          <w:rFonts w:ascii="宋体" w:hAnsi="宋体" w:hint="eastAsia"/>
          <w:szCs w:val="21"/>
        </w:rPr>
        <w:t>很小。</w:t>
      </w:r>
    </w:p>
    <w:p w:rsidR="004165EC" w:rsidRDefault="00C97C8E">
      <w:pPr>
        <w:tabs>
          <w:tab w:val="left" w:pos="5415"/>
        </w:tabs>
        <w:spacing w:line="360" w:lineRule="auto"/>
        <w:ind w:firstLineChars="200" w:firstLine="420"/>
        <w:rPr>
          <w:rFonts w:ascii="宋体" w:hAnsi="宋体"/>
          <w:szCs w:val="21"/>
        </w:rPr>
      </w:pPr>
      <w:r>
        <w:rPr>
          <w:rFonts w:ascii="宋体" w:hAnsi="宋体" w:hint="eastAsia"/>
          <w:szCs w:val="21"/>
        </w:rPr>
        <w:t>一般说来公因子个数</w:t>
      </w:r>
      <w:r>
        <w:rPr>
          <w:rFonts w:ascii="宋体" w:hAnsi="宋体"/>
          <w:position w:val="-10"/>
          <w:szCs w:val="21"/>
        </w:rPr>
        <w:pict>
          <v:shape id="图片 76" o:spid="_x0000_i1221" type="#_x0000_t75" style="width:12pt;height:12.75pt">
            <v:imagedata r:id="rId269" o:title=""/>
          </v:shape>
        </w:pict>
      </w:r>
      <w:r>
        <w:rPr>
          <w:rFonts w:ascii="宋体" w:hAnsi="宋体" w:hint="eastAsia"/>
          <w:szCs w:val="21"/>
        </w:rPr>
        <w:t>的选择有两种方式，一是根据实际问题的意义和专业理论知识确定；二是用确定主成分个数的原则，选择使得下式成立的最小整数</w:t>
      </w:r>
      <w:r>
        <w:rPr>
          <w:rFonts w:ascii="宋体" w:hAnsi="宋体"/>
          <w:position w:val="-6"/>
          <w:szCs w:val="21"/>
        </w:rPr>
        <w:pict>
          <v:shape id="图片 77" o:spid="_x0000_i1222" type="#_x0000_t75" style="width:12.75pt;height:11.25pt">
            <v:imagedata r:id="rId270" o:title=""/>
          </v:shape>
        </w:pict>
      </w:r>
      <w:r>
        <w:rPr>
          <w:rFonts w:ascii="宋体" w:hAnsi="宋体" w:hint="eastAsia"/>
          <w:szCs w:val="21"/>
        </w:rPr>
        <w:t>：</w:t>
      </w:r>
    </w:p>
    <w:p w:rsidR="004165EC" w:rsidRDefault="00C97C8E">
      <w:pPr>
        <w:tabs>
          <w:tab w:val="left" w:pos="5415"/>
        </w:tabs>
        <w:spacing w:line="360" w:lineRule="auto"/>
        <w:ind w:firstLineChars="200" w:firstLine="420"/>
        <w:rPr>
          <w:rFonts w:ascii="宋体" w:hAnsi="宋体"/>
          <w:szCs w:val="21"/>
        </w:rPr>
      </w:pPr>
      <w:r>
        <w:rPr>
          <w:rFonts w:ascii="宋体" w:hAnsi="宋体"/>
          <w:position w:val="-34"/>
          <w:szCs w:val="21"/>
        </w:rPr>
        <w:pict>
          <v:shape id="图片 78" o:spid="_x0000_i1223" type="#_x0000_t75" style="width:264.75pt;height:36.75pt">
            <v:imagedata r:id="rId271" o:title=""/>
          </v:shape>
        </w:pict>
      </w:r>
      <w:r>
        <w:rPr>
          <w:rFonts w:ascii="宋体" w:hAnsi="宋体" w:hint="eastAsia"/>
          <w:szCs w:val="21"/>
          <w:vertAlign w:val="superscript"/>
        </w:rPr>
        <w:t>[1]</w:t>
      </w:r>
      <w:r>
        <w:rPr>
          <w:rFonts w:ascii="宋体" w:hAnsi="宋体" w:hint="eastAsia"/>
          <w:szCs w:val="21"/>
        </w:rPr>
        <w:t>。</w:t>
      </w:r>
    </w:p>
    <w:p w:rsidR="004165EC" w:rsidRDefault="00C97C8E">
      <w:pPr>
        <w:spacing w:line="360" w:lineRule="auto"/>
        <w:rPr>
          <w:rFonts w:ascii="楷体_GB2312" w:eastAsia="楷体_GB2312" w:hAnsi="宋体"/>
          <w:szCs w:val="21"/>
        </w:rPr>
      </w:pPr>
      <w:r>
        <w:rPr>
          <w:rFonts w:ascii="黑体" w:eastAsia="黑体" w:hAnsi="宋体" w:hint="eastAsia"/>
          <w:b/>
          <w:szCs w:val="21"/>
        </w:rPr>
        <w:t>2.3  正交旋转</w:t>
      </w:r>
    </w:p>
    <w:p w:rsidR="004165EC" w:rsidRDefault="00C97C8E">
      <w:pPr>
        <w:spacing w:line="360" w:lineRule="auto"/>
        <w:ind w:firstLineChars="200" w:firstLine="420"/>
        <w:rPr>
          <w:rFonts w:ascii="宋体" w:hAnsi="宋体"/>
          <w:szCs w:val="21"/>
        </w:rPr>
      </w:pPr>
      <w:r>
        <w:rPr>
          <w:rFonts w:ascii="宋体" w:hAnsi="宋体" w:hint="eastAsia"/>
          <w:szCs w:val="21"/>
        </w:rPr>
        <w:t>因子分析不仅仅要求出公共因子，更重要的是能够解释公共因子的实际意义。如果每个公共因子的意义含糊不清，则不利于根据实际背景对因子进行解释。由于因子载荷矩阵</w:t>
      </w:r>
      <w:proofErr w:type="gramStart"/>
      <w:r>
        <w:rPr>
          <w:rFonts w:ascii="宋体" w:hAnsi="宋体" w:hint="eastAsia"/>
          <w:szCs w:val="21"/>
        </w:rPr>
        <w:t>不</w:t>
      </w:r>
      <w:proofErr w:type="gramEnd"/>
      <w:r>
        <w:rPr>
          <w:rFonts w:ascii="宋体" w:hAnsi="宋体" w:hint="eastAsia"/>
          <w:szCs w:val="21"/>
        </w:rPr>
        <w:t>唯一，所以应该对因子载荷矩阵实施旋转变换，使得各个因子载荷矩阵的每一列</w:t>
      </w:r>
      <w:proofErr w:type="gramStart"/>
      <w:r>
        <w:rPr>
          <w:rFonts w:ascii="宋体" w:hAnsi="宋体" w:hint="eastAsia"/>
          <w:szCs w:val="21"/>
        </w:rPr>
        <w:t>个</w:t>
      </w:r>
      <w:proofErr w:type="gramEnd"/>
      <w:r>
        <w:rPr>
          <w:rFonts w:ascii="宋体" w:hAnsi="宋体" w:hint="eastAsia"/>
          <w:szCs w:val="21"/>
        </w:rPr>
        <w:t>元素的平方</w:t>
      </w:r>
      <w:proofErr w:type="gramStart"/>
      <w:r>
        <w:rPr>
          <w:rFonts w:ascii="宋体" w:hAnsi="宋体" w:hint="eastAsia"/>
          <w:szCs w:val="21"/>
        </w:rPr>
        <w:t>按列向</w:t>
      </w:r>
      <w:proofErr w:type="gramEnd"/>
      <w:r>
        <w:rPr>
          <w:rFonts w:ascii="宋体" w:hAnsi="宋体" w:hint="eastAsia"/>
          <w:szCs w:val="21"/>
        </w:rPr>
        <w:t>0和1</w:t>
      </w:r>
      <w:proofErr w:type="gramStart"/>
      <w:r>
        <w:rPr>
          <w:rFonts w:ascii="宋体" w:hAnsi="宋体" w:hint="eastAsia"/>
          <w:szCs w:val="21"/>
        </w:rPr>
        <w:t>两</w:t>
      </w:r>
      <w:proofErr w:type="gramEnd"/>
      <w:r>
        <w:rPr>
          <w:rFonts w:ascii="宋体" w:hAnsi="宋体" w:hint="eastAsia"/>
          <w:szCs w:val="21"/>
        </w:rPr>
        <w:t>级转化，以达到简化结构的目的。有三种主要的正交旋转方法：方差最大法、四次方最大法和等量最大法。下面介绍方差最大的正交旋转方法。</w:t>
      </w:r>
    </w:p>
    <w:p w:rsidR="004165EC" w:rsidRDefault="00C97C8E">
      <w:pPr>
        <w:spacing w:line="360" w:lineRule="auto"/>
        <w:ind w:firstLineChars="200" w:firstLine="420"/>
        <w:rPr>
          <w:rFonts w:ascii="宋体" w:hAnsi="宋体"/>
          <w:szCs w:val="21"/>
        </w:rPr>
      </w:pPr>
      <w:r>
        <w:rPr>
          <w:rFonts w:ascii="宋体" w:hAnsi="宋体" w:hint="eastAsia"/>
          <w:szCs w:val="21"/>
        </w:rPr>
        <w:t>因子模型为</w:t>
      </w:r>
      <w:r>
        <w:rPr>
          <w:rFonts w:ascii="宋体" w:hAnsi="宋体"/>
          <w:position w:val="-6"/>
          <w:szCs w:val="21"/>
        </w:rPr>
        <w:pict>
          <v:shape id="图片 79" o:spid="_x0000_i1224" type="#_x0000_t75" style="width:60.75pt;height:14.25pt">
            <v:imagedata r:id="rId272" o:title=""/>
          </v:shape>
        </w:pict>
      </w:r>
      <w:r>
        <w:rPr>
          <w:rFonts w:ascii="宋体" w:hAnsi="宋体" w:hint="eastAsia"/>
          <w:szCs w:val="21"/>
        </w:rPr>
        <w:t>，对</w:t>
      </w:r>
      <w:r>
        <w:rPr>
          <w:rFonts w:ascii="宋体" w:hAnsi="宋体"/>
          <w:position w:val="-4"/>
          <w:szCs w:val="21"/>
        </w:rPr>
        <w:pict>
          <v:shape id="图片 80" o:spid="_x0000_i1225" type="#_x0000_t75" style="width:12.75pt;height:12.75pt">
            <v:imagedata r:id="rId273" o:title=""/>
          </v:shape>
        </w:pict>
      </w:r>
      <w:r>
        <w:rPr>
          <w:rFonts w:ascii="宋体" w:hAnsi="宋体" w:hint="eastAsia"/>
          <w:szCs w:val="21"/>
        </w:rPr>
        <w:t>作正交变换：</w:t>
      </w:r>
    </w:p>
    <w:p w:rsidR="004165EC" w:rsidRDefault="00C97C8E">
      <w:pPr>
        <w:spacing w:line="360" w:lineRule="auto"/>
        <w:ind w:firstLineChars="200" w:firstLine="420"/>
        <w:rPr>
          <w:rFonts w:ascii="宋体" w:hAnsi="宋体"/>
          <w:szCs w:val="21"/>
        </w:rPr>
      </w:pPr>
      <w:r>
        <w:rPr>
          <w:rFonts w:ascii="宋体" w:hAnsi="宋体" w:hint="eastAsia"/>
          <w:szCs w:val="21"/>
        </w:rPr>
        <w:t>令</w:t>
      </w:r>
      <w:r>
        <w:rPr>
          <w:rFonts w:ascii="宋体" w:hAnsi="宋体"/>
          <w:position w:val="-10"/>
          <w:szCs w:val="21"/>
        </w:rPr>
        <w:pict>
          <v:shape id="图片 81" o:spid="_x0000_i1226" type="#_x0000_t75" style="width:180.75pt;height:18.75pt">
            <v:imagedata r:id="rId274" o:title=""/>
          </v:shape>
        </w:pict>
      </w:r>
      <w:r>
        <w:rPr>
          <w:rFonts w:ascii="宋体" w:hAnsi="宋体" w:hint="eastAsia"/>
          <w:szCs w:val="21"/>
        </w:rPr>
        <w:t>，则有：</w:t>
      </w:r>
      <w:r>
        <w:rPr>
          <w:rFonts w:ascii="宋体" w:hAnsi="宋体"/>
          <w:position w:val="-6"/>
          <w:szCs w:val="21"/>
        </w:rPr>
        <w:pict>
          <v:shape id="图片 82" o:spid="_x0000_i1227" type="#_x0000_t75" style="width:67.5pt;height:14.25pt">
            <v:imagedata r:id="rId275" o:title=""/>
          </v:shape>
        </w:pict>
      </w:r>
      <w:r>
        <w:rPr>
          <w:rFonts w:ascii="宋体" w:hAnsi="宋体" w:hint="eastAsia"/>
          <w:szCs w:val="21"/>
        </w:rPr>
        <w:t>，且满足：</w:t>
      </w:r>
    </w:p>
    <w:p w:rsidR="004165EC" w:rsidRDefault="00C97C8E">
      <w:pPr>
        <w:spacing w:line="360" w:lineRule="auto"/>
        <w:ind w:firstLineChars="200" w:firstLine="420"/>
        <w:rPr>
          <w:rFonts w:ascii="宋体" w:hAnsi="宋体"/>
          <w:szCs w:val="21"/>
        </w:rPr>
      </w:pPr>
      <w:r>
        <w:rPr>
          <w:rFonts w:ascii="宋体" w:hAnsi="宋体"/>
          <w:position w:val="-50"/>
          <w:szCs w:val="21"/>
        </w:rPr>
        <w:lastRenderedPageBreak/>
        <w:pict>
          <v:shape id="图片 83" o:spid="_x0000_i1228" type="#_x0000_t75" style="width:273pt;height:60pt">
            <v:imagedata r:id="rId276" o:title=""/>
          </v:shape>
        </w:pict>
      </w:r>
      <w:r>
        <w:rPr>
          <w:rFonts w:ascii="宋体" w:hAnsi="宋体" w:hint="eastAsia"/>
          <w:szCs w:val="21"/>
        </w:rPr>
        <w:t>（2.1）</w:t>
      </w:r>
    </w:p>
    <w:p w:rsidR="004165EC" w:rsidRDefault="00C97C8E">
      <w:pPr>
        <w:spacing w:line="360" w:lineRule="auto"/>
        <w:ind w:firstLineChars="200" w:firstLine="420"/>
        <w:rPr>
          <w:rFonts w:ascii="宋体" w:hAnsi="宋体"/>
          <w:szCs w:val="21"/>
        </w:rPr>
      </w:pPr>
      <w:r>
        <w:rPr>
          <w:rFonts w:ascii="宋体" w:hAnsi="宋体" w:hint="eastAsia"/>
          <w:szCs w:val="21"/>
        </w:rPr>
        <w:t>式（2.1）表明，如果</w:t>
      </w:r>
      <w:r>
        <w:rPr>
          <w:rFonts w:ascii="宋体" w:hAnsi="宋体"/>
          <w:position w:val="-4"/>
          <w:szCs w:val="21"/>
        </w:rPr>
        <w:pict>
          <v:shape id="图片 84" o:spid="_x0000_i1229" type="#_x0000_t75" style="width:12.75pt;height:12.75pt">
            <v:imagedata r:id="rId277" o:title=""/>
          </v:shape>
        </w:pict>
      </w:r>
      <w:r>
        <w:rPr>
          <w:rFonts w:ascii="宋体" w:hAnsi="宋体" w:hint="eastAsia"/>
          <w:szCs w:val="21"/>
        </w:rPr>
        <w:t>是正交因子模型的公因子向量，则对于任意正交矩阵</w:t>
      </w:r>
      <w:r>
        <w:rPr>
          <w:rFonts w:ascii="宋体" w:hAnsi="宋体"/>
          <w:position w:val="-4"/>
          <w:szCs w:val="21"/>
        </w:rPr>
        <w:pict>
          <v:shape id="图片 85" o:spid="_x0000_i1230" type="#_x0000_t75" style="width:11.25pt;height:12pt">
            <v:imagedata r:id="rId278" o:title=""/>
          </v:shape>
        </w:pict>
      </w:r>
      <w:r>
        <w:rPr>
          <w:rFonts w:ascii="宋体" w:hAnsi="宋体" w:hint="eastAsia"/>
          <w:szCs w:val="21"/>
        </w:rPr>
        <w:t>，</w:t>
      </w:r>
      <w:r>
        <w:rPr>
          <w:rFonts w:ascii="宋体" w:hAnsi="宋体"/>
          <w:position w:val="-4"/>
          <w:szCs w:val="21"/>
        </w:rPr>
        <w:pict>
          <v:shape id="图片 86" o:spid="_x0000_i1231" type="#_x0000_t75" style="width:45.75pt;height:21.75pt">
            <v:imagedata r:id="rId279" o:title=""/>
          </v:shape>
        </w:pict>
      </w:r>
      <w:r>
        <w:rPr>
          <w:rFonts w:ascii="宋体" w:hAnsi="宋体" w:hint="eastAsia"/>
          <w:szCs w:val="21"/>
        </w:rPr>
        <w:t>也是公因子向量，相应的有</w:t>
      </w:r>
      <w:r>
        <w:rPr>
          <w:rFonts w:ascii="宋体" w:hAnsi="宋体"/>
          <w:position w:val="-4"/>
          <w:szCs w:val="21"/>
        </w:rPr>
        <w:pict>
          <v:shape id="图片 87" o:spid="_x0000_i1232" type="#_x0000_t75" style="width:18.75pt;height:12.75pt">
            <v:imagedata r:id="rId280" o:title=""/>
          </v:shape>
        </w:pict>
      </w:r>
      <w:r>
        <w:rPr>
          <w:rFonts w:ascii="宋体" w:hAnsi="宋体" w:hint="eastAsia"/>
          <w:szCs w:val="21"/>
        </w:rPr>
        <w:t>是公因子</w:t>
      </w:r>
      <w:r>
        <w:rPr>
          <w:rFonts w:ascii="宋体" w:hAnsi="宋体"/>
          <w:position w:val="-4"/>
          <w:szCs w:val="21"/>
        </w:rPr>
        <w:pict>
          <v:shape id="图片 88" o:spid="_x0000_i1233" type="#_x0000_t75" style="width:12pt;height:12.75pt">
            <v:imagedata r:id="rId281" o:title=""/>
          </v:shape>
        </w:pict>
      </w:r>
      <w:r>
        <w:rPr>
          <w:rFonts w:ascii="宋体" w:hAnsi="宋体" w:hint="eastAsia"/>
          <w:szCs w:val="21"/>
        </w:rPr>
        <w:t>的因子载荷矩阵</w:t>
      </w:r>
      <w:r>
        <w:rPr>
          <w:rFonts w:ascii="宋体" w:hAnsi="宋体" w:hint="eastAsia"/>
          <w:szCs w:val="21"/>
          <w:vertAlign w:val="superscript"/>
        </w:rPr>
        <w:t>[1]</w: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利用这个性质，在实际应用中，当我们求得初始因子载荷矩阵</w:t>
      </w:r>
      <w:r>
        <w:rPr>
          <w:rFonts w:ascii="宋体" w:hAnsi="宋体"/>
          <w:position w:val="-4"/>
          <w:szCs w:val="21"/>
        </w:rPr>
        <w:pict>
          <v:shape id="图片 89" o:spid="_x0000_i1234" type="#_x0000_t75" style="width:12pt;height:12.75pt">
            <v:imagedata r:id="rId282" o:title=""/>
          </v:shape>
        </w:pict>
      </w:r>
      <w:r>
        <w:rPr>
          <w:rFonts w:ascii="宋体" w:hAnsi="宋体" w:hint="eastAsia"/>
          <w:szCs w:val="21"/>
        </w:rPr>
        <w:t>后，反复右乘正交矩阵</w:t>
      </w:r>
      <w:r>
        <w:rPr>
          <w:rFonts w:ascii="宋体" w:hAnsi="宋体"/>
          <w:position w:val="-4"/>
          <w:szCs w:val="21"/>
        </w:rPr>
        <w:pict>
          <v:shape id="图片 90" o:spid="_x0000_i1235" type="#_x0000_t75" style="width:11.25pt;height:12pt">
            <v:imagedata r:id="rId283" o:title=""/>
          </v:shape>
        </w:pict>
      </w:r>
      <w:r>
        <w:rPr>
          <w:rFonts w:ascii="宋体" w:hAnsi="宋体" w:hint="eastAsia"/>
          <w:szCs w:val="21"/>
        </w:rPr>
        <w:t>使得</w:t>
      </w:r>
      <w:r>
        <w:rPr>
          <w:rFonts w:ascii="宋体" w:hAnsi="宋体"/>
          <w:position w:val="-4"/>
          <w:szCs w:val="21"/>
        </w:rPr>
        <w:pict>
          <v:shape id="图片 91" o:spid="_x0000_i1236" type="#_x0000_t75" style="width:18.75pt;height:12.75pt">
            <v:imagedata r:id="rId284" o:title=""/>
          </v:shape>
        </w:pict>
      </w:r>
      <w:r>
        <w:rPr>
          <w:rFonts w:ascii="宋体" w:hAnsi="宋体" w:hint="eastAsia"/>
          <w:szCs w:val="21"/>
        </w:rPr>
        <w:t>具有更明显的实际意义。我们称这种变换载荷矩阵的方法为因子轴的正交旋转。</w:t>
      </w:r>
    </w:p>
    <w:p w:rsidR="004165EC" w:rsidRDefault="00C97C8E">
      <w:pPr>
        <w:spacing w:line="360" w:lineRule="auto"/>
        <w:ind w:firstLineChars="200" w:firstLine="420"/>
        <w:rPr>
          <w:rFonts w:ascii="宋体" w:hAnsi="宋体"/>
          <w:szCs w:val="21"/>
        </w:rPr>
      </w:pPr>
      <w:r>
        <w:rPr>
          <w:rFonts w:ascii="宋体" w:hAnsi="宋体" w:hint="eastAsia"/>
          <w:szCs w:val="21"/>
        </w:rPr>
        <w:t>对于因子载荷矩阵</w:t>
      </w:r>
      <w:r>
        <w:rPr>
          <w:rFonts w:ascii="宋体" w:hAnsi="宋体"/>
          <w:position w:val="-4"/>
          <w:szCs w:val="21"/>
        </w:rPr>
        <w:pict>
          <v:shape id="图片 92" o:spid="_x0000_i1237" type="#_x0000_t75" style="width:12pt;height:12.75pt">
            <v:imagedata r:id="rId285" o:title=""/>
          </v:shape>
        </w:pict>
      </w:r>
      <w:r>
        <w:rPr>
          <w:rFonts w:ascii="宋体" w:hAnsi="宋体" w:hint="eastAsia"/>
          <w:szCs w:val="21"/>
        </w:rPr>
        <w:t>，如果</w:t>
      </w:r>
      <w:r>
        <w:rPr>
          <w:rFonts w:ascii="宋体" w:hAnsi="宋体"/>
          <w:position w:val="-4"/>
          <w:szCs w:val="21"/>
        </w:rPr>
        <w:pict>
          <v:shape id="图片 93" o:spid="_x0000_i1238" type="#_x0000_t75" style="width:12pt;height:12.75pt">
            <v:imagedata r:id="rId286" o:title=""/>
          </v:shape>
        </w:pict>
      </w:r>
      <w:r>
        <w:rPr>
          <w:rFonts w:ascii="宋体" w:hAnsi="宋体" w:hint="eastAsia"/>
          <w:szCs w:val="21"/>
        </w:rPr>
        <w:t>的因子载荷向量（即每一列）数值越分散，相应的因子载荷向量的方差就越大。为了消除由于</w:t>
      </w:r>
      <w:r>
        <w:rPr>
          <w:rFonts w:ascii="宋体" w:hAnsi="宋体"/>
          <w:position w:val="-14"/>
          <w:szCs w:val="21"/>
        </w:rPr>
        <w:pict>
          <v:shape id="图片 94" o:spid="_x0000_i1239" type="#_x0000_t75" style="width:15pt;height:18.75pt">
            <v:imagedata r:id="rId287" o:title=""/>
          </v:shape>
        </w:pict>
      </w:r>
      <w:r>
        <w:rPr>
          <w:rFonts w:ascii="宋体" w:hAnsi="宋体" w:hint="eastAsia"/>
          <w:szCs w:val="21"/>
        </w:rPr>
        <w:t>符号不同的影响以及各个变量对于公共因子依赖程度不同的影响，我们做如下变化：</w:t>
      </w:r>
    </w:p>
    <w:p w:rsidR="004165EC" w:rsidRDefault="00C97C8E">
      <w:pPr>
        <w:spacing w:line="360" w:lineRule="auto"/>
        <w:ind w:firstLineChars="200" w:firstLine="420"/>
        <w:rPr>
          <w:rFonts w:ascii="宋体" w:hAnsi="宋体"/>
          <w:szCs w:val="21"/>
        </w:rPr>
      </w:pPr>
      <w:r>
        <w:rPr>
          <w:rFonts w:ascii="宋体" w:hAnsi="宋体" w:hint="eastAsia"/>
          <w:szCs w:val="21"/>
        </w:rPr>
        <w:t>令</w:t>
      </w:r>
      <w:r>
        <w:rPr>
          <w:rFonts w:ascii="宋体" w:hAnsi="宋体"/>
          <w:position w:val="-32"/>
          <w:szCs w:val="21"/>
        </w:rPr>
        <w:pict>
          <v:shape id="图片 95" o:spid="_x0000_i1240" type="#_x0000_t75" style="width:161.25pt;height:39.75pt">
            <v:imagedata r:id="rId288" o:title=""/>
          </v:shape>
        </w:pict>
      </w:r>
      <w:r>
        <w:rPr>
          <w:rFonts w:ascii="宋体" w:hAnsi="宋体" w:hint="eastAsia"/>
          <w:szCs w:val="21"/>
        </w:rPr>
        <w:t>，并将第</w:t>
      </w:r>
      <w:r>
        <w:rPr>
          <w:rFonts w:ascii="宋体" w:hAnsi="宋体"/>
          <w:position w:val="-10"/>
          <w:szCs w:val="21"/>
        </w:rPr>
        <w:pict>
          <v:shape id="图片 96" o:spid="_x0000_i1241" type="#_x0000_t75" style="width:9.75pt;height:15pt">
            <v:imagedata r:id="rId289" o:title=""/>
          </v:shape>
        </w:pict>
      </w:r>
      <w:r>
        <w:rPr>
          <w:rFonts w:ascii="宋体" w:hAnsi="宋体" w:hint="eastAsia"/>
          <w:szCs w:val="21"/>
        </w:rPr>
        <w:t>列的</w:t>
      </w:r>
      <w:r>
        <w:rPr>
          <w:rFonts w:ascii="宋体" w:hAnsi="宋体"/>
          <w:position w:val="-10"/>
          <w:szCs w:val="21"/>
        </w:rPr>
        <w:pict>
          <v:shape id="图片 97" o:spid="_x0000_i1242" type="#_x0000_t75" style="width:12pt;height:12.75pt">
            <v:imagedata r:id="rId290" o:title=""/>
          </v:shape>
        </w:pict>
      </w:r>
      <w:proofErr w:type="gramStart"/>
      <w:r>
        <w:rPr>
          <w:rFonts w:ascii="宋体" w:hAnsi="宋体" w:hint="eastAsia"/>
          <w:szCs w:val="21"/>
        </w:rPr>
        <w:t>个</w:t>
      </w:r>
      <w:proofErr w:type="gramEnd"/>
      <w:r>
        <w:rPr>
          <w:rFonts w:ascii="宋体" w:hAnsi="宋体" w:hint="eastAsia"/>
          <w:szCs w:val="21"/>
        </w:rPr>
        <w:t>数据</w:t>
      </w:r>
      <w:r>
        <w:rPr>
          <w:rFonts w:ascii="宋体" w:hAnsi="宋体"/>
          <w:position w:val="-14"/>
          <w:szCs w:val="21"/>
        </w:rPr>
        <w:pict>
          <v:shape id="图片 98" o:spid="_x0000_i1243" type="#_x0000_t75" style="width:54pt;height:21pt">
            <v:imagedata r:id="rId291" o:title=""/>
          </v:shape>
        </w:pict>
      </w:r>
      <w:r>
        <w:rPr>
          <w:rFonts w:ascii="宋体" w:hAnsi="宋体" w:hint="eastAsia"/>
          <w:szCs w:val="21"/>
        </w:rPr>
        <w:t>的方差定义为</w:t>
      </w:r>
      <w:r>
        <w:rPr>
          <w:rFonts w:ascii="宋体" w:hAnsi="宋体"/>
          <w:position w:val="-32"/>
          <w:szCs w:val="21"/>
        </w:rPr>
        <w:pict>
          <v:shape id="图片 99" o:spid="_x0000_i1244" type="#_x0000_t75" style="width:240.75pt;height:39.75pt">
            <v:imagedata r:id="rId292" o:title=""/>
          </v:shape>
        </w:pic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其中</w:t>
      </w:r>
      <w:r>
        <w:rPr>
          <w:rFonts w:ascii="宋体" w:hAnsi="宋体"/>
          <w:position w:val="-30"/>
          <w:szCs w:val="21"/>
        </w:rPr>
        <w:pict>
          <v:shape id="图片 100" o:spid="_x0000_i1245" type="#_x0000_t75" style="width:126pt;height:36.75pt">
            <v:imagedata r:id="rId293"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则因子载荷矩阵A的方差为</w:t>
      </w:r>
    </w:p>
    <w:p w:rsidR="004165EC" w:rsidRDefault="00C97C8E">
      <w:pPr>
        <w:spacing w:line="360" w:lineRule="auto"/>
        <w:ind w:firstLineChars="200" w:firstLine="420"/>
        <w:rPr>
          <w:rFonts w:ascii="宋体" w:hAnsi="宋体"/>
          <w:szCs w:val="21"/>
        </w:rPr>
      </w:pPr>
      <w:r>
        <w:rPr>
          <w:rFonts w:ascii="宋体" w:hAnsi="宋体"/>
          <w:position w:val="-44"/>
          <w:szCs w:val="21"/>
        </w:rPr>
        <w:pict>
          <v:shape id="图片 101" o:spid="_x0000_i1246" type="#_x0000_t75" style="width:204.75pt;height:45.75pt">
            <v:imagedata r:id="rId294" o:title=""/>
          </v:shape>
        </w:pict>
      </w:r>
    </w:p>
    <w:p w:rsidR="004165EC" w:rsidRDefault="00C97C8E">
      <w:pPr>
        <w:spacing w:line="360" w:lineRule="auto"/>
        <w:ind w:firstLineChars="200" w:firstLine="420"/>
        <w:rPr>
          <w:rFonts w:ascii="宋体" w:hAnsi="宋体"/>
          <w:szCs w:val="21"/>
        </w:rPr>
      </w:pPr>
      <w:r>
        <w:rPr>
          <w:rFonts w:ascii="宋体" w:hAnsi="宋体"/>
          <w:position w:val="-14"/>
          <w:szCs w:val="21"/>
        </w:rPr>
        <w:pict>
          <v:shape id="图片 102" o:spid="_x0000_i1247" type="#_x0000_t75" style="width:14.25pt;height:18.75pt">
            <v:imagedata r:id="rId295" o:title=""/>
          </v:shape>
        </w:pict>
      </w:r>
      <w:r>
        <w:rPr>
          <w:rFonts w:ascii="宋体" w:hAnsi="宋体" w:hint="eastAsia"/>
          <w:szCs w:val="21"/>
        </w:rPr>
        <w:t>值越大，</w:t>
      </w:r>
      <w:r>
        <w:rPr>
          <w:rFonts w:ascii="宋体" w:hAnsi="宋体"/>
          <w:position w:val="-4"/>
          <w:szCs w:val="21"/>
        </w:rPr>
        <w:pict>
          <v:shape id="图片 103" o:spid="_x0000_i1248" type="#_x0000_t75" style="width:12pt;height:12.75pt">
            <v:imagedata r:id="rId296" o:title=""/>
          </v:shape>
        </w:pict>
      </w:r>
      <w:r>
        <w:rPr>
          <w:rFonts w:ascii="宋体" w:hAnsi="宋体" w:hint="eastAsia"/>
          <w:szCs w:val="21"/>
        </w:rPr>
        <w:t>的第</w:t>
      </w:r>
      <w:r>
        <w:rPr>
          <w:rFonts w:ascii="宋体" w:hAnsi="宋体"/>
          <w:position w:val="-10"/>
          <w:szCs w:val="21"/>
        </w:rPr>
        <w:pict>
          <v:shape id="图片 104" o:spid="_x0000_i1249" type="#_x0000_t75" style="width:9.75pt;height:15pt">
            <v:imagedata r:id="rId297" o:title=""/>
          </v:shape>
        </w:pict>
      </w:r>
      <w:proofErr w:type="gramStart"/>
      <w:r>
        <w:rPr>
          <w:rFonts w:ascii="宋体" w:hAnsi="宋体" w:hint="eastAsia"/>
          <w:szCs w:val="21"/>
        </w:rPr>
        <w:t>个</w:t>
      </w:r>
      <w:proofErr w:type="gramEnd"/>
      <w:r>
        <w:rPr>
          <w:rFonts w:ascii="宋体" w:hAnsi="宋体" w:hint="eastAsia"/>
          <w:szCs w:val="21"/>
        </w:rPr>
        <w:t>因子载荷向量数值越分散，如果载荷值或是趋于1，或是趋于0，则这时相应的公因子</w:t>
      </w:r>
      <w:r>
        <w:rPr>
          <w:rFonts w:ascii="宋体" w:hAnsi="宋体"/>
          <w:position w:val="-14"/>
          <w:szCs w:val="21"/>
        </w:rPr>
        <w:pict>
          <v:shape id="图片 105" o:spid="_x0000_i1250" type="#_x0000_t75" style="width:15pt;height:18.75pt">
            <v:imagedata r:id="rId298" o:title=""/>
          </v:shape>
        </w:pict>
      </w:r>
      <w:r>
        <w:rPr>
          <w:rFonts w:ascii="宋体" w:hAnsi="宋体" w:hint="eastAsia"/>
          <w:szCs w:val="21"/>
        </w:rPr>
        <w:t>即具有简化结构，所以我们希望因子载荷矩阵的方差尽可能大。</w:t>
      </w:r>
    </w:p>
    <w:p w:rsidR="004165EC" w:rsidRDefault="00C97C8E">
      <w:pPr>
        <w:spacing w:line="360" w:lineRule="auto"/>
        <w:ind w:firstLineChars="200" w:firstLine="420"/>
        <w:rPr>
          <w:rFonts w:ascii="宋体" w:hAnsi="宋体"/>
          <w:szCs w:val="21"/>
        </w:rPr>
      </w:pPr>
      <w:r>
        <w:rPr>
          <w:rFonts w:ascii="宋体" w:hAnsi="宋体" w:hint="eastAsia"/>
          <w:szCs w:val="21"/>
        </w:rPr>
        <w:t>当</w:t>
      </w:r>
      <w:r>
        <w:rPr>
          <w:rFonts w:ascii="宋体" w:hAnsi="宋体"/>
          <w:position w:val="-6"/>
          <w:szCs w:val="21"/>
        </w:rPr>
        <w:pict>
          <v:shape id="图片 106" o:spid="_x0000_i1251" type="#_x0000_t75" style="width:30.75pt;height:14.25pt">
            <v:imagedata r:id="rId299" o:title=""/>
          </v:shape>
        </w:pict>
      </w:r>
      <w:r>
        <w:rPr>
          <w:rFonts w:ascii="宋体" w:hAnsi="宋体" w:hint="eastAsia"/>
          <w:szCs w:val="21"/>
        </w:rPr>
        <w:t>时，因子载荷矩阵为</w:t>
      </w:r>
      <w:r>
        <w:rPr>
          <w:rFonts w:ascii="宋体" w:hAnsi="宋体"/>
          <w:position w:val="-70"/>
          <w:szCs w:val="21"/>
        </w:rPr>
        <w:pict>
          <v:shape id="图片 107" o:spid="_x0000_i1252" type="#_x0000_t75" style="width:81.75pt;height:75.75pt">
            <v:imagedata r:id="rId300" o:title=""/>
          </v:shape>
        </w:pict>
      </w:r>
      <w:r>
        <w:rPr>
          <w:rFonts w:ascii="宋体" w:hAnsi="宋体" w:hint="eastAsia"/>
          <w:szCs w:val="21"/>
        </w:rPr>
        <w:t>，取正交阵</w:t>
      </w:r>
      <w:r>
        <w:rPr>
          <w:rFonts w:ascii="宋体" w:hAnsi="宋体"/>
          <w:position w:val="-30"/>
          <w:szCs w:val="21"/>
        </w:rPr>
        <w:pict>
          <v:shape id="图片 108" o:spid="_x0000_i1253" type="#_x0000_t75" style="width:99pt;height:36pt">
            <v:imagedata r:id="rId301" o:title=""/>
          </v:shape>
        </w:pic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则有：</w:t>
      </w:r>
    </w:p>
    <w:p w:rsidR="004165EC" w:rsidRDefault="00C97C8E">
      <w:pPr>
        <w:spacing w:line="360" w:lineRule="auto"/>
        <w:ind w:firstLineChars="200" w:firstLine="420"/>
        <w:rPr>
          <w:rFonts w:ascii="宋体" w:hAnsi="宋体"/>
          <w:szCs w:val="21"/>
        </w:rPr>
      </w:pPr>
      <w:r>
        <w:rPr>
          <w:rFonts w:ascii="宋体" w:hAnsi="宋体"/>
          <w:position w:val="-70"/>
          <w:szCs w:val="21"/>
        </w:rPr>
        <w:lastRenderedPageBreak/>
        <w:pict>
          <v:shape id="图片 109" o:spid="_x0000_i1254" type="#_x0000_t75" style="width:342.75pt;height:75.75pt">
            <v:imagedata r:id="rId302"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为</w:t>
      </w:r>
      <w:r>
        <w:rPr>
          <w:rFonts w:ascii="宋体" w:hAnsi="宋体"/>
          <w:position w:val="-4"/>
          <w:szCs w:val="21"/>
        </w:rPr>
        <w:pict>
          <v:shape id="图片 110" o:spid="_x0000_i1255" type="#_x0000_t75" style="width:43.5pt;height:15.75pt">
            <v:imagedata r:id="rId303" o:title=""/>
          </v:shape>
        </w:pict>
      </w:r>
      <w:r>
        <w:rPr>
          <w:rFonts w:ascii="宋体" w:hAnsi="宋体" w:hint="eastAsia"/>
          <w:szCs w:val="21"/>
        </w:rPr>
        <w:t>的因子载荷矩阵，这相当于将有</w:t>
      </w:r>
      <w:r>
        <w:rPr>
          <w:rFonts w:ascii="宋体" w:hAnsi="宋体"/>
          <w:position w:val="-10"/>
          <w:szCs w:val="21"/>
        </w:rPr>
        <w:pict>
          <v:shape id="图片 111" o:spid="_x0000_i1256" type="#_x0000_t75" style="width:30pt;height:17.25pt">
            <v:imagedata r:id="rId304" o:title=""/>
          </v:shape>
        </w:pict>
      </w:r>
      <w:r>
        <w:rPr>
          <w:rFonts w:ascii="宋体" w:hAnsi="宋体" w:hint="eastAsia"/>
          <w:szCs w:val="21"/>
        </w:rPr>
        <w:t>确定的因子平面旋转了一个角度</w:t>
      </w:r>
      <w:r>
        <w:rPr>
          <w:rFonts w:ascii="宋体" w:hAnsi="宋体"/>
          <w:position w:val="-10"/>
          <w:szCs w:val="21"/>
        </w:rPr>
        <w:pict>
          <v:shape id="图片 112" o:spid="_x0000_i1257" type="#_x0000_t75" style="width:11.25pt;height:12.75pt">
            <v:imagedata r:id="rId305" o:title=""/>
          </v:shape>
        </w:pic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因子载荷向量的方差：</w:t>
      </w:r>
      <w:r>
        <w:rPr>
          <w:rFonts w:ascii="宋体" w:hAnsi="宋体"/>
          <w:position w:val="-32"/>
          <w:szCs w:val="21"/>
        </w:rPr>
        <w:pict>
          <v:shape id="图片 113" o:spid="_x0000_i1258" type="#_x0000_t75" style="width:183pt;height:38.25pt">
            <v:imagedata r:id="rId306"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令</w:t>
      </w:r>
      <w:r>
        <w:rPr>
          <w:rFonts w:ascii="宋体" w:hAnsi="宋体"/>
          <w:position w:val="-28"/>
          <w:szCs w:val="21"/>
        </w:rPr>
        <w:pict>
          <v:shape id="图片 114" o:spid="_x0000_i1259" type="#_x0000_t75" style="width:110.25pt;height:33pt">
            <v:imagedata r:id="rId307" o:title=""/>
          </v:shape>
        </w:pict>
      </w:r>
      <w:r>
        <w:rPr>
          <w:rFonts w:ascii="宋体" w:hAnsi="宋体" w:hint="eastAsia"/>
          <w:szCs w:val="21"/>
        </w:rPr>
        <w:t>,整理后</w:t>
      </w:r>
      <w:proofErr w:type="gramStart"/>
      <w:r>
        <w:rPr>
          <w:rFonts w:ascii="宋体" w:hAnsi="宋体" w:hint="eastAsia"/>
          <w:szCs w:val="21"/>
        </w:rPr>
        <w:t>知欲满足</w:t>
      </w:r>
      <w:proofErr w:type="gramEnd"/>
      <w:r>
        <w:rPr>
          <w:rFonts w:ascii="宋体" w:hAnsi="宋体" w:hint="eastAsia"/>
          <w:szCs w:val="21"/>
        </w:rPr>
        <w:t>上式则需要有下列关系式成立：</w:t>
      </w:r>
    </w:p>
    <w:p w:rsidR="004165EC" w:rsidRDefault="00C97C8E">
      <w:pPr>
        <w:spacing w:line="360" w:lineRule="auto"/>
        <w:ind w:firstLineChars="200" w:firstLine="420"/>
        <w:rPr>
          <w:rFonts w:ascii="宋体" w:hAnsi="宋体"/>
          <w:szCs w:val="21"/>
        </w:rPr>
      </w:pPr>
      <w:r>
        <w:rPr>
          <w:rFonts w:ascii="宋体" w:hAnsi="宋体"/>
          <w:position w:val="-32"/>
          <w:szCs w:val="21"/>
        </w:rPr>
        <w:pict>
          <v:shape id="图片 115" o:spid="_x0000_i1260" type="#_x0000_t75" style="width:132pt;height:35.25pt">
            <v:imagedata r:id="rId308"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其中</w:t>
      </w:r>
      <w:r>
        <w:rPr>
          <w:rFonts w:ascii="宋体" w:hAnsi="宋体"/>
          <w:position w:val="-34"/>
          <w:szCs w:val="21"/>
        </w:rPr>
        <w:pict>
          <v:shape id="图片 116" o:spid="_x0000_i1261" type="#_x0000_t75" style="width:260.25pt;height:39pt">
            <v:imagedata r:id="rId309"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 xml:space="preserve">    </w:t>
      </w:r>
      <w:r>
        <w:rPr>
          <w:rFonts w:ascii="宋体" w:hAnsi="宋体"/>
          <w:position w:val="-36"/>
          <w:szCs w:val="21"/>
        </w:rPr>
        <w:pict>
          <v:shape id="图片 117" o:spid="_x0000_i1262" type="#_x0000_t75" style="width:239.25pt;height:39pt">
            <v:imagedata r:id="rId310"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当</w:t>
      </w:r>
      <w:r>
        <w:rPr>
          <w:rFonts w:ascii="宋体" w:hAnsi="宋体"/>
          <w:position w:val="-6"/>
          <w:szCs w:val="21"/>
        </w:rPr>
        <w:pict>
          <v:shape id="图片 118" o:spid="_x0000_i1263" type="#_x0000_t75" style="width:30.75pt;height:14.25pt">
            <v:imagedata r:id="rId311" o:title=""/>
          </v:shape>
        </w:pict>
      </w:r>
      <w:r>
        <w:rPr>
          <w:rFonts w:ascii="宋体" w:hAnsi="宋体" w:hint="eastAsia"/>
          <w:szCs w:val="21"/>
        </w:rPr>
        <w:t>时，可以</w:t>
      </w:r>
      <w:proofErr w:type="gramStart"/>
      <w:r>
        <w:rPr>
          <w:rFonts w:ascii="宋体" w:hAnsi="宋体" w:hint="eastAsia"/>
          <w:szCs w:val="21"/>
        </w:rPr>
        <w:t>逐次对</w:t>
      </w:r>
      <w:proofErr w:type="gramEnd"/>
      <w:r>
        <w:rPr>
          <w:rFonts w:ascii="宋体" w:hAnsi="宋体" w:hint="eastAsia"/>
          <w:szCs w:val="21"/>
        </w:rPr>
        <w:t>每两个因子</w:t>
      </w:r>
      <w:r>
        <w:rPr>
          <w:rFonts w:ascii="宋体" w:hAnsi="宋体"/>
          <w:position w:val="-14"/>
          <w:szCs w:val="21"/>
        </w:rPr>
        <w:pict>
          <v:shape id="图片 119" o:spid="_x0000_i1264" type="#_x0000_t75" style="width:61.5pt;height:18.75pt">
            <v:imagedata r:id="rId312" o:title=""/>
          </v:shape>
        </w:pict>
      </w:r>
      <w:r>
        <w:rPr>
          <w:rFonts w:ascii="宋体" w:hAnsi="宋体" w:hint="eastAsia"/>
          <w:szCs w:val="21"/>
        </w:rPr>
        <w:t>进行上述旋转，选择满足上式的旋转角度</w:t>
      </w:r>
      <w:r>
        <w:rPr>
          <w:rFonts w:ascii="宋体" w:hAnsi="宋体"/>
          <w:position w:val="-14"/>
          <w:szCs w:val="21"/>
        </w:rPr>
        <w:pict>
          <v:shape id="图片 120" o:spid="_x0000_i1265" type="#_x0000_t75" style="width:15.75pt;height:18.75pt">
            <v:imagedata r:id="rId313" o:title=""/>
          </v:shape>
        </w:pict>
      </w:r>
      <w:r>
        <w:rPr>
          <w:rFonts w:ascii="宋体" w:hAnsi="宋体" w:hint="eastAsia"/>
          <w:szCs w:val="21"/>
        </w:rPr>
        <w:t>。</w:t>
      </w:r>
      <w:r>
        <w:rPr>
          <w:rFonts w:ascii="宋体" w:hAnsi="宋体"/>
          <w:position w:val="-6"/>
          <w:szCs w:val="21"/>
        </w:rPr>
        <w:pict>
          <v:shape id="图片 121" o:spid="_x0000_i1266" type="#_x0000_t75" style="width:12.75pt;height:11.25pt">
            <v:imagedata r:id="rId314" o:title=""/>
          </v:shape>
        </w:pict>
      </w:r>
      <w:proofErr w:type="gramStart"/>
      <w:r>
        <w:rPr>
          <w:rFonts w:ascii="宋体" w:hAnsi="宋体" w:hint="eastAsia"/>
          <w:szCs w:val="21"/>
        </w:rPr>
        <w:t>个</w:t>
      </w:r>
      <w:proofErr w:type="gramEnd"/>
      <w:r>
        <w:rPr>
          <w:rFonts w:ascii="宋体" w:hAnsi="宋体" w:hint="eastAsia"/>
          <w:szCs w:val="21"/>
        </w:rPr>
        <w:t>因子全部配对旋转共需旋转</w:t>
      </w:r>
      <w:r>
        <w:rPr>
          <w:rFonts w:ascii="宋体" w:hAnsi="宋体"/>
          <w:position w:val="-12"/>
          <w:szCs w:val="21"/>
        </w:rPr>
        <w:pict>
          <v:shape id="图片 122" o:spid="_x0000_i1267" type="#_x0000_t75" style="width:18pt;height:20.25pt">
            <v:imagedata r:id="rId315" o:title=""/>
          </v:shape>
        </w:pict>
      </w:r>
      <w:r>
        <w:rPr>
          <w:rFonts w:ascii="宋体" w:hAnsi="宋体" w:hint="eastAsia"/>
          <w:szCs w:val="21"/>
        </w:rPr>
        <w:t>次，全部旋转结束第一次循环，经过第一次循环后计算所得的因子载荷矩阵方差</w:t>
      </w:r>
      <w:r>
        <w:rPr>
          <w:rFonts w:ascii="宋体" w:hAnsi="宋体"/>
          <w:position w:val="-14"/>
          <w:szCs w:val="21"/>
        </w:rPr>
        <w:pict>
          <v:shape id="图片 123" o:spid="_x0000_i1268" type="#_x0000_t75" style="width:18.75pt;height:18.75pt">
            <v:imagedata r:id="rId316" o:title=""/>
          </v:shape>
        </w:pict>
      </w:r>
      <w:r>
        <w:rPr>
          <w:rFonts w:ascii="宋体" w:hAnsi="宋体" w:hint="eastAsia"/>
          <w:szCs w:val="21"/>
        </w:rPr>
        <w:t>。从旋转后的在和矩阵方差</w:t>
      </w:r>
      <w:r>
        <w:rPr>
          <w:rFonts w:ascii="宋体" w:hAnsi="宋体"/>
          <w:position w:val="-14"/>
          <w:szCs w:val="21"/>
        </w:rPr>
        <w:pict>
          <v:shape id="图片 124" o:spid="_x0000_i1269" type="#_x0000_t75" style="width:18.75pt;height:18.75pt">
            <v:imagedata r:id="rId316" o:title=""/>
          </v:shape>
        </w:pict>
      </w:r>
      <w:r>
        <w:rPr>
          <w:rFonts w:ascii="宋体" w:hAnsi="宋体" w:hint="eastAsia"/>
          <w:szCs w:val="21"/>
        </w:rPr>
        <w:t>出发，再进行第二循环，第三循环，直到</w:t>
      </w:r>
      <w:r>
        <w:rPr>
          <w:rFonts w:ascii="宋体" w:hAnsi="宋体"/>
          <w:position w:val="-6"/>
          <w:szCs w:val="21"/>
        </w:rPr>
        <w:pict>
          <v:shape id="图片 125" o:spid="_x0000_i1270" type="#_x0000_t75" style="width:12pt;height:14.25pt">
            <v:imagedata r:id="rId317" o:title=""/>
          </v:shape>
        </w:pict>
      </w:r>
      <w:r>
        <w:rPr>
          <w:rFonts w:ascii="宋体" w:hAnsi="宋体" w:hint="eastAsia"/>
          <w:szCs w:val="21"/>
        </w:rPr>
        <w:t>不能再增大。</w:t>
      </w:r>
    </w:p>
    <w:p w:rsidR="004165EC" w:rsidRDefault="00C97C8E">
      <w:pPr>
        <w:spacing w:line="360" w:lineRule="auto"/>
        <w:rPr>
          <w:rFonts w:ascii="楷体_GB2312" w:eastAsia="楷体_GB2312" w:hAnsi="宋体"/>
          <w:szCs w:val="21"/>
        </w:rPr>
      </w:pPr>
      <w:r>
        <w:rPr>
          <w:rFonts w:ascii="黑体" w:eastAsia="黑体" w:hAnsi="宋体" w:hint="eastAsia"/>
          <w:b/>
          <w:szCs w:val="21"/>
        </w:rPr>
        <w:t>2.4  因子得分</w:t>
      </w:r>
    </w:p>
    <w:p w:rsidR="004165EC" w:rsidRDefault="00C97C8E">
      <w:pPr>
        <w:spacing w:line="360" w:lineRule="auto"/>
        <w:ind w:firstLineChars="200" w:firstLine="420"/>
        <w:rPr>
          <w:rFonts w:ascii="宋体" w:hAnsi="宋体"/>
          <w:szCs w:val="21"/>
        </w:rPr>
      </w:pPr>
      <w:r>
        <w:rPr>
          <w:rFonts w:ascii="宋体" w:hAnsi="宋体" w:hint="eastAsia"/>
          <w:szCs w:val="21"/>
        </w:rPr>
        <w:t>经过上述讨论我们了解了如何从样本相关阵R出发，得到公因子和因子载荷矩阵，并能对公因子</w:t>
      </w:r>
      <w:proofErr w:type="gramStart"/>
      <w:r>
        <w:rPr>
          <w:rFonts w:ascii="宋体" w:hAnsi="宋体" w:hint="eastAsia"/>
          <w:szCs w:val="21"/>
        </w:rPr>
        <w:t>作出</w:t>
      </w:r>
      <w:proofErr w:type="gramEnd"/>
      <w:r>
        <w:rPr>
          <w:rFonts w:ascii="宋体" w:hAnsi="宋体" w:hint="eastAsia"/>
          <w:szCs w:val="21"/>
        </w:rPr>
        <w:t>合理解释。但是有时候我们需要把公因子表示成指标变量的线性组合，或是对每一个样</w:t>
      </w:r>
      <w:proofErr w:type="gramStart"/>
      <w:r>
        <w:rPr>
          <w:rFonts w:ascii="宋体" w:hAnsi="宋体" w:hint="eastAsia"/>
          <w:szCs w:val="21"/>
        </w:rPr>
        <w:t>本计算</w:t>
      </w:r>
      <w:proofErr w:type="gramEnd"/>
      <w:r>
        <w:rPr>
          <w:rFonts w:ascii="宋体" w:hAnsi="宋体" w:hint="eastAsia"/>
          <w:szCs w:val="21"/>
        </w:rPr>
        <w:t>公因子的估计值，这就是因子得分。因子得分有两方面的用途：一是用来诊断模型；而是用来作为进一步分析的原始数据。</w:t>
      </w:r>
    </w:p>
    <w:p w:rsidR="004165EC" w:rsidRDefault="00C97C8E">
      <w:pPr>
        <w:spacing w:line="360" w:lineRule="auto"/>
        <w:ind w:firstLineChars="200" w:firstLine="420"/>
        <w:rPr>
          <w:rFonts w:ascii="宋体" w:hAnsi="宋体"/>
          <w:szCs w:val="21"/>
        </w:rPr>
      </w:pPr>
      <w:r>
        <w:rPr>
          <w:rFonts w:ascii="宋体" w:hAnsi="宋体" w:hint="eastAsia"/>
          <w:szCs w:val="21"/>
        </w:rPr>
        <w:t>因子得分函数可以表示成如下形式：</w:t>
      </w:r>
    </w:p>
    <w:p w:rsidR="004165EC" w:rsidRDefault="00C97C8E">
      <w:pPr>
        <w:spacing w:line="360" w:lineRule="auto"/>
        <w:ind w:firstLineChars="200" w:firstLine="420"/>
        <w:rPr>
          <w:rFonts w:ascii="宋体" w:hAnsi="宋体"/>
          <w:szCs w:val="21"/>
        </w:rPr>
      </w:pPr>
      <w:r>
        <w:rPr>
          <w:rFonts w:ascii="宋体" w:hAnsi="宋体"/>
          <w:position w:val="-14"/>
          <w:szCs w:val="21"/>
        </w:rPr>
        <w:pict>
          <v:shape id="Picture 161" o:spid="_x0000_i1271" type="#_x0000_t75" style="width:171.75pt;height:18.75pt">
            <v:imagedata r:id="rId318"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要求得每个因子的得分，</w:t>
      </w:r>
      <w:proofErr w:type="gramStart"/>
      <w:r>
        <w:rPr>
          <w:rFonts w:ascii="宋体" w:hAnsi="宋体" w:hint="eastAsia"/>
          <w:szCs w:val="21"/>
        </w:rPr>
        <w:t>则需求得</w:t>
      </w:r>
      <w:proofErr w:type="gramEnd"/>
      <w:r>
        <w:rPr>
          <w:rFonts w:ascii="宋体" w:hAnsi="宋体" w:hint="eastAsia"/>
          <w:szCs w:val="21"/>
        </w:rPr>
        <w:t>每个函数的系数。但是由于</w:t>
      </w:r>
      <w:r>
        <w:rPr>
          <w:rFonts w:ascii="宋体" w:hAnsi="宋体"/>
          <w:position w:val="-10"/>
          <w:szCs w:val="21"/>
        </w:rPr>
        <w:pict>
          <v:shape id="图片 127" o:spid="_x0000_i1272" type="#_x0000_t75" style="width:33pt;height:12.75pt">
            <v:imagedata r:id="rId319" o:title=""/>
          </v:shape>
        </w:pict>
      </w:r>
      <w:r>
        <w:rPr>
          <w:rFonts w:ascii="宋体" w:hAnsi="宋体" w:hint="eastAsia"/>
          <w:szCs w:val="21"/>
        </w:rPr>
        <w:t>，所以不能求出精确得分，只能进行估计。</w:t>
      </w:r>
    </w:p>
    <w:p w:rsidR="004165EC" w:rsidRDefault="00C97C8E">
      <w:pPr>
        <w:spacing w:line="360" w:lineRule="auto"/>
        <w:ind w:firstLineChars="200" w:firstLine="420"/>
        <w:rPr>
          <w:rFonts w:ascii="宋体" w:hAnsi="宋体"/>
          <w:szCs w:val="21"/>
        </w:rPr>
      </w:pPr>
      <w:r>
        <w:rPr>
          <w:rFonts w:ascii="宋体" w:hAnsi="宋体" w:hint="eastAsia"/>
          <w:szCs w:val="21"/>
        </w:rPr>
        <w:t>接下来介绍两种常用的估计因子得分的方法。</w:t>
      </w:r>
    </w:p>
    <w:p w:rsidR="004165EC" w:rsidRDefault="00C97C8E">
      <w:pPr>
        <w:spacing w:line="360" w:lineRule="auto"/>
        <w:rPr>
          <w:rFonts w:ascii="楷体_GB2312" w:eastAsia="楷体_GB2312" w:hAnsi="宋体"/>
          <w:szCs w:val="21"/>
        </w:rPr>
      </w:pPr>
      <w:r>
        <w:rPr>
          <w:rFonts w:hint="eastAsia"/>
          <w:b/>
          <w:szCs w:val="21"/>
        </w:rPr>
        <w:lastRenderedPageBreak/>
        <w:t>2</w:t>
      </w:r>
      <w:r>
        <w:rPr>
          <w:rFonts w:hint="eastAsia"/>
          <w:b/>
          <w:szCs w:val="21"/>
        </w:rPr>
        <w:t>．</w:t>
      </w:r>
      <w:r>
        <w:rPr>
          <w:rFonts w:hint="eastAsia"/>
          <w:b/>
          <w:szCs w:val="21"/>
        </w:rPr>
        <w:t>4</w:t>
      </w:r>
      <w:r>
        <w:rPr>
          <w:rFonts w:hint="eastAsia"/>
          <w:b/>
          <w:szCs w:val="21"/>
        </w:rPr>
        <w:t>．</w:t>
      </w:r>
      <w:r>
        <w:rPr>
          <w:b/>
          <w:szCs w:val="21"/>
        </w:rPr>
        <w:t>1</w:t>
      </w:r>
      <w:r>
        <w:rPr>
          <w:rFonts w:ascii="宋体" w:hAnsi="宋体" w:cs="宋体" w:hint="eastAsia"/>
          <w:b/>
          <w:szCs w:val="21"/>
        </w:rPr>
        <w:t xml:space="preserve"> </w:t>
      </w:r>
      <w:r>
        <w:rPr>
          <w:rFonts w:ascii="楷体_GB2312" w:eastAsia="楷体_GB2312" w:hAnsi="宋体" w:hint="eastAsia"/>
          <w:szCs w:val="21"/>
        </w:rPr>
        <w:t xml:space="preserve"> </w:t>
      </w:r>
      <w:r>
        <w:rPr>
          <w:rFonts w:ascii="黑体" w:eastAsia="黑体" w:hAnsi="宋体" w:hint="eastAsia"/>
          <w:b/>
          <w:szCs w:val="21"/>
        </w:rPr>
        <w:t>巴特莱特因子得分（加权最小二乘法）</w:t>
      </w:r>
    </w:p>
    <w:p w:rsidR="004165EC" w:rsidRDefault="00C97C8E">
      <w:pPr>
        <w:spacing w:line="360" w:lineRule="auto"/>
        <w:ind w:firstLineChars="200" w:firstLine="420"/>
        <w:rPr>
          <w:rFonts w:ascii="宋体" w:hAnsi="宋体"/>
          <w:szCs w:val="21"/>
        </w:rPr>
      </w:pPr>
      <w:r>
        <w:rPr>
          <w:rFonts w:ascii="宋体" w:hAnsi="宋体" w:hint="eastAsia"/>
          <w:szCs w:val="21"/>
        </w:rPr>
        <w:t>因子模型为</w:t>
      </w:r>
      <w:r>
        <w:rPr>
          <w:rFonts w:ascii="宋体" w:hAnsi="宋体"/>
          <w:position w:val="-6"/>
          <w:szCs w:val="21"/>
        </w:rPr>
        <w:pict>
          <v:shape id="图片 128" o:spid="_x0000_i1273" type="#_x0000_t75" style="width:60.75pt;height:14.25pt">
            <v:imagedata r:id="rId320" o:title=""/>
          </v:shape>
        </w:pict>
      </w:r>
      <w:r>
        <w:rPr>
          <w:rFonts w:ascii="宋体" w:hAnsi="宋体" w:hint="eastAsia"/>
          <w:szCs w:val="21"/>
        </w:rPr>
        <w:t>，假定因子载荷矩阵</w:t>
      </w:r>
      <w:r>
        <w:rPr>
          <w:rFonts w:ascii="宋体" w:hAnsi="宋体"/>
          <w:position w:val="-4"/>
          <w:szCs w:val="21"/>
        </w:rPr>
        <w:pict>
          <v:shape id="图片 129" o:spid="_x0000_i1274" type="#_x0000_t75" style="width:12pt;height:12.75pt">
            <v:imagedata r:id="rId321" o:title=""/>
          </v:shape>
        </w:pict>
      </w:r>
      <w:r>
        <w:rPr>
          <w:rFonts w:ascii="宋体" w:hAnsi="宋体" w:hint="eastAsia"/>
          <w:szCs w:val="21"/>
        </w:rPr>
        <w:t>和特殊因子方差已知，而把特殊因子</w:t>
      </w:r>
      <w:r>
        <w:rPr>
          <w:rFonts w:ascii="宋体" w:hAnsi="宋体"/>
          <w:position w:val="-6"/>
          <w:szCs w:val="21"/>
        </w:rPr>
        <w:pict>
          <v:shape id="图片 130" o:spid="_x0000_i1275" type="#_x0000_t75" style="width:9.75pt;height:11.25pt">
            <v:imagedata r:id="rId322" o:title=""/>
          </v:shape>
        </w:pict>
      </w:r>
      <w:proofErr w:type="gramStart"/>
      <w:r>
        <w:rPr>
          <w:rFonts w:ascii="宋体" w:hAnsi="宋体" w:hint="eastAsia"/>
          <w:szCs w:val="21"/>
        </w:rPr>
        <w:t>看做</w:t>
      </w:r>
      <w:proofErr w:type="gramEnd"/>
      <w:r>
        <w:rPr>
          <w:rFonts w:ascii="宋体" w:hAnsi="宋体" w:hint="eastAsia"/>
          <w:szCs w:val="21"/>
        </w:rPr>
        <w:t>误差。</w:t>
      </w:r>
      <w:r>
        <w:rPr>
          <w:rFonts w:ascii="宋体" w:hAnsi="宋体"/>
          <w:position w:val="-12"/>
          <w:szCs w:val="21"/>
        </w:rPr>
        <w:pict>
          <v:shape id="图片 131" o:spid="_x0000_i1276" type="#_x0000_t75" style="width:126pt;height:20.25pt">
            <v:imagedata r:id="rId323" o:title=""/>
          </v:shape>
        </w:pict>
      </w:r>
      <w:r>
        <w:rPr>
          <w:rFonts w:ascii="宋体" w:hAnsi="宋体" w:hint="eastAsia"/>
          <w:szCs w:val="21"/>
        </w:rPr>
        <w:t>一般不相等，所以我们利用加权最小二乘法估计公因子</w:t>
      </w:r>
      <w:r>
        <w:rPr>
          <w:rFonts w:ascii="宋体" w:hAnsi="宋体"/>
          <w:position w:val="-10"/>
          <w:szCs w:val="21"/>
        </w:rPr>
        <w:pict>
          <v:shape id="图片 132" o:spid="_x0000_i1277" type="#_x0000_t75" style="width:12pt;height:15.75pt">
            <v:imagedata r:id="rId324" o:title=""/>
          </v:shape>
        </w:pict>
      </w:r>
      <w:r>
        <w:rPr>
          <w:rFonts w:ascii="宋体" w:hAnsi="宋体" w:hint="eastAsia"/>
          <w:szCs w:val="21"/>
        </w:rPr>
        <w:t>的值。用误差方差的倒数作为权重的误差平方和：</w:t>
      </w:r>
    </w:p>
    <w:p w:rsidR="004165EC" w:rsidRDefault="00C97C8E">
      <w:pPr>
        <w:spacing w:line="360" w:lineRule="auto"/>
        <w:ind w:firstLineChars="200" w:firstLine="420"/>
        <w:rPr>
          <w:rFonts w:ascii="宋体" w:hAnsi="宋体"/>
          <w:szCs w:val="21"/>
        </w:rPr>
      </w:pPr>
      <w:r>
        <w:rPr>
          <w:rFonts w:ascii="宋体" w:hAnsi="宋体"/>
          <w:position w:val="-32"/>
          <w:szCs w:val="21"/>
        </w:rPr>
        <w:pict>
          <v:shape id="图片 133" o:spid="_x0000_i1278" type="#_x0000_t75" style="width:249.75pt;height:38.25pt">
            <v:imagedata r:id="rId325"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上式中，</w:t>
      </w:r>
      <w:r>
        <w:rPr>
          <w:rFonts w:ascii="宋体" w:hAnsi="宋体"/>
          <w:position w:val="-6"/>
          <w:szCs w:val="21"/>
        </w:rPr>
        <w:pict>
          <v:shape id="图片 134" o:spid="_x0000_i1279" type="#_x0000_t75" style="width:33pt;height:14.25pt">
            <v:imagedata r:id="rId326" o:title=""/>
          </v:shape>
        </w:pict>
      </w:r>
      <w:r>
        <w:rPr>
          <w:rFonts w:ascii="宋体" w:hAnsi="宋体" w:hint="eastAsia"/>
          <w:szCs w:val="21"/>
        </w:rPr>
        <w:t>已知，X可观测亦是已知量，求</w:t>
      </w:r>
      <w:r>
        <w:rPr>
          <w:rFonts w:ascii="宋体" w:hAnsi="宋体"/>
          <w:position w:val="-4"/>
          <w:szCs w:val="21"/>
        </w:rPr>
        <w:pict>
          <v:shape id="图片 135" o:spid="_x0000_i1280" type="#_x0000_t75" style="width:12.75pt;height:12.75pt">
            <v:imagedata r:id="rId327" o:title=""/>
          </v:shape>
        </w:pict>
      </w:r>
      <w:r>
        <w:rPr>
          <w:rFonts w:ascii="宋体" w:hAnsi="宋体" w:hint="eastAsia"/>
          <w:szCs w:val="21"/>
        </w:rPr>
        <w:t>的估计值</w:t>
      </w:r>
      <w:r>
        <w:rPr>
          <w:rFonts w:ascii="宋体" w:hAnsi="宋体"/>
          <w:position w:val="-4"/>
          <w:szCs w:val="21"/>
        </w:rPr>
        <w:pict>
          <v:shape id="图片 136" o:spid="_x0000_i1281" type="#_x0000_t75" style="width:12.75pt;height:15.75pt">
            <v:imagedata r:id="rId328" o:title=""/>
          </v:shape>
        </w:pict>
      </w:r>
      <w:r>
        <w:rPr>
          <w:rFonts w:ascii="宋体" w:hAnsi="宋体" w:hint="eastAsia"/>
          <w:szCs w:val="21"/>
        </w:rPr>
        <w:t>，使得关于</w:t>
      </w:r>
      <w:r>
        <w:rPr>
          <w:rFonts w:ascii="宋体" w:hAnsi="宋体"/>
          <w:position w:val="-4"/>
          <w:szCs w:val="21"/>
        </w:rPr>
        <w:pict>
          <v:shape id="图片 137" o:spid="_x0000_i1282" type="#_x0000_t75" style="width:12.75pt;height:12.75pt">
            <v:imagedata r:id="rId329" o:title=""/>
          </v:shape>
        </w:pict>
      </w:r>
      <w:r>
        <w:rPr>
          <w:rFonts w:ascii="宋体" w:hAnsi="宋体" w:hint="eastAsia"/>
          <w:szCs w:val="21"/>
        </w:rPr>
        <w:t>的函数</w:t>
      </w:r>
      <w:r>
        <w:rPr>
          <w:rFonts w:ascii="宋体" w:hAnsi="宋体"/>
          <w:position w:val="-10"/>
          <w:szCs w:val="21"/>
        </w:rPr>
        <w:pict>
          <v:shape id="图片 138" o:spid="_x0000_i1283" type="#_x0000_t75" style="width:27.75pt;height:15.75pt">
            <v:imagedata r:id="rId330" o:title=""/>
          </v:shape>
        </w:pict>
      </w:r>
      <w:r>
        <w:rPr>
          <w:rFonts w:ascii="宋体" w:hAnsi="宋体" w:hint="eastAsia"/>
          <w:szCs w:val="21"/>
        </w:rPr>
        <w:t>达到最小值，即</w:t>
      </w:r>
      <w:r>
        <w:rPr>
          <w:rFonts w:ascii="宋体" w:hAnsi="宋体"/>
          <w:position w:val="-10"/>
          <w:szCs w:val="21"/>
        </w:rPr>
        <w:pict>
          <v:shape id="图片 139" o:spid="_x0000_i1284" type="#_x0000_t75" style="width:86.25pt;height:18.75pt">
            <v:imagedata r:id="rId331" o:title=""/>
          </v:shape>
        </w:pict>
      </w:r>
      <w:r>
        <w:rPr>
          <w:rFonts w:ascii="宋体" w:hAnsi="宋体" w:hint="eastAsia"/>
          <w:szCs w:val="21"/>
        </w:rPr>
        <w:t>，令</w:t>
      </w:r>
      <w:r>
        <w:rPr>
          <w:rFonts w:ascii="宋体" w:hAnsi="宋体"/>
          <w:position w:val="-24"/>
          <w:szCs w:val="21"/>
        </w:rPr>
        <w:pict>
          <v:shape id="图片 140" o:spid="_x0000_i1285" type="#_x0000_t75" style="width:56.25pt;height:30.75pt">
            <v:imagedata r:id="rId332" o:title=""/>
          </v:shape>
        </w:pict>
      </w:r>
      <w:r>
        <w:rPr>
          <w:rFonts w:ascii="宋体" w:hAnsi="宋体" w:hint="eastAsia"/>
          <w:szCs w:val="21"/>
        </w:rPr>
        <w:t>,得到</w:t>
      </w:r>
      <w:r>
        <w:rPr>
          <w:rFonts w:ascii="宋体" w:hAnsi="宋体"/>
          <w:position w:val="-4"/>
          <w:szCs w:val="21"/>
        </w:rPr>
        <w:pict>
          <v:shape id="图片 141" o:spid="_x0000_i1286" type="#_x0000_t75" style="width:12.75pt;height:12.75pt">
            <v:imagedata r:id="rId333" o:title=""/>
          </v:shape>
        </w:pict>
      </w:r>
      <w:r>
        <w:rPr>
          <w:rFonts w:ascii="宋体" w:hAnsi="宋体" w:hint="eastAsia"/>
          <w:szCs w:val="21"/>
        </w:rPr>
        <w:t>的估计值：</w:t>
      </w:r>
    </w:p>
    <w:p w:rsidR="004165EC" w:rsidRDefault="00C97C8E">
      <w:pPr>
        <w:spacing w:line="360" w:lineRule="auto"/>
        <w:ind w:firstLineChars="200" w:firstLine="420"/>
        <w:rPr>
          <w:rFonts w:ascii="宋体" w:hAnsi="宋体"/>
          <w:szCs w:val="21"/>
        </w:rPr>
      </w:pPr>
      <w:r>
        <w:rPr>
          <w:rFonts w:ascii="宋体" w:hAnsi="宋体"/>
          <w:position w:val="-10"/>
          <w:szCs w:val="21"/>
        </w:rPr>
        <w:pict>
          <v:shape id="图片 142" o:spid="_x0000_i1287" type="#_x0000_t75" style="width:100.5pt;height:18.75pt">
            <v:imagedata r:id="rId334" o:title=""/>
          </v:shape>
        </w:pict>
      </w:r>
      <w:r>
        <w:rPr>
          <w:rFonts w:ascii="宋体" w:hAnsi="宋体" w:hint="eastAsia"/>
          <w:szCs w:val="21"/>
        </w:rPr>
        <w:t>,即为因子得分的加权最小二乘估计。</w:t>
      </w:r>
    </w:p>
    <w:p w:rsidR="004165EC" w:rsidRDefault="00C97C8E">
      <w:pPr>
        <w:spacing w:line="360" w:lineRule="auto"/>
        <w:ind w:firstLineChars="200" w:firstLine="420"/>
        <w:rPr>
          <w:rFonts w:ascii="宋体" w:hAnsi="宋体"/>
          <w:szCs w:val="21"/>
        </w:rPr>
      </w:pPr>
      <w:r>
        <w:rPr>
          <w:rFonts w:ascii="宋体" w:hAnsi="宋体" w:hint="eastAsia"/>
          <w:szCs w:val="21"/>
        </w:rPr>
        <w:t>在处理实际问题时，</w:t>
      </w:r>
      <w:r>
        <w:rPr>
          <w:rFonts w:ascii="宋体" w:hAnsi="宋体"/>
          <w:position w:val="-6"/>
          <w:szCs w:val="21"/>
        </w:rPr>
        <w:pict>
          <v:shape id="图片 143" o:spid="_x0000_i1288" type="#_x0000_t75" style="width:33pt;height:14.25pt">
            <v:imagedata r:id="rId335" o:title=""/>
          </v:shape>
        </w:pict>
      </w:r>
      <w:r>
        <w:rPr>
          <w:rFonts w:ascii="宋体" w:hAnsi="宋体" w:hint="eastAsia"/>
          <w:szCs w:val="21"/>
        </w:rPr>
        <w:t>是未知量。但是可以用它们的某个估计值代替。</w:t>
      </w:r>
    </w:p>
    <w:p w:rsidR="004165EC" w:rsidRDefault="00C97C8E">
      <w:pPr>
        <w:spacing w:line="360" w:lineRule="auto"/>
        <w:ind w:firstLineChars="200" w:firstLine="420"/>
        <w:rPr>
          <w:rFonts w:ascii="宋体" w:hAnsi="宋体"/>
          <w:szCs w:val="21"/>
        </w:rPr>
      </w:pPr>
      <w:r>
        <w:rPr>
          <w:rFonts w:ascii="宋体" w:hAnsi="宋体" w:hint="eastAsia"/>
          <w:szCs w:val="21"/>
        </w:rPr>
        <w:t>对于样本</w:t>
      </w:r>
      <w:r>
        <w:rPr>
          <w:rFonts w:ascii="宋体" w:hAnsi="宋体"/>
          <w:position w:val="-14"/>
          <w:szCs w:val="21"/>
        </w:rPr>
        <w:pict>
          <v:shape id="图片 144" o:spid="_x0000_i1289" type="#_x0000_t75" style="width:21.75pt;height:18.75pt">
            <v:imagedata r:id="rId336" o:title=""/>
          </v:shape>
        </w:pict>
      </w:r>
      <w:r>
        <w:rPr>
          <w:rFonts w:ascii="宋体" w:hAnsi="宋体" w:hint="eastAsia"/>
          <w:szCs w:val="21"/>
        </w:rPr>
        <w:t>，它的因子得分可以进行如下表示：</w:t>
      </w:r>
    </w:p>
    <w:p w:rsidR="004165EC" w:rsidRDefault="00C97C8E">
      <w:pPr>
        <w:spacing w:line="360" w:lineRule="auto"/>
        <w:ind w:firstLineChars="200" w:firstLine="420"/>
        <w:rPr>
          <w:rFonts w:ascii="宋体" w:hAnsi="宋体"/>
          <w:szCs w:val="21"/>
        </w:rPr>
      </w:pPr>
      <w:r>
        <w:rPr>
          <w:rFonts w:ascii="宋体" w:hAnsi="宋体"/>
          <w:position w:val="-14"/>
          <w:szCs w:val="21"/>
        </w:rPr>
        <w:pict>
          <v:shape id="图片 145" o:spid="_x0000_i1290" type="#_x0000_t75" style="width:183.75pt;height:21pt">
            <v:imagedata r:id="rId337"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本文用主成分</w:t>
      </w:r>
      <w:proofErr w:type="gramStart"/>
      <w:r>
        <w:rPr>
          <w:rFonts w:ascii="宋体" w:hAnsi="宋体" w:hint="eastAsia"/>
          <w:szCs w:val="21"/>
        </w:rPr>
        <w:t>法估计</w:t>
      </w:r>
      <w:proofErr w:type="gramEnd"/>
      <w:r>
        <w:rPr>
          <w:rFonts w:ascii="宋体" w:hAnsi="宋体" w:hint="eastAsia"/>
          <w:szCs w:val="21"/>
        </w:rPr>
        <w:t>因子载荷矩阵，在估计因子得分时，通常用</w:t>
      </w:r>
      <w:proofErr w:type="gramStart"/>
      <w:r>
        <w:rPr>
          <w:rFonts w:ascii="宋体" w:hAnsi="宋体" w:hint="eastAsia"/>
          <w:szCs w:val="21"/>
        </w:rPr>
        <w:t>不</w:t>
      </w:r>
      <w:proofErr w:type="gramEnd"/>
      <w:r>
        <w:rPr>
          <w:rFonts w:ascii="宋体" w:hAnsi="宋体" w:hint="eastAsia"/>
          <w:szCs w:val="21"/>
        </w:rPr>
        <w:t>加权的最小二乘法。</w:t>
      </w:r>
    </w:p>
    <w:p w:rsidR="004165EC" w:rsidRDefault="00C97C8E">
      <w:pPr>
        <w:spacing w:line="360" w:lineRule="auto"/>
        <w:ind w:firstLineChars="200" w:firstLine="420"/>
        <w:rPr>
          <w:rFonts w:ascii="宋体" w:hAnsi="宋体"/>
          <w:szCs w:val="21"/>
        </w:rPr>
      </w:pPr>
      <w:r>
        <w:rPr>
          <w:rFonts w:ascii="宋体" w:hAnsi="宋体"/>
          <w:position w:val="-30"/>
          <w:szCs w:val="21"/>
        </w:rPr>
        <w:pict>
          <v:shape id="图片 146" o:spid="_x0000_i1291" type="#_x0000_t75" style="width:207.75pt;height:36.75pt">
            <v:imagedata r:id="rId338" o:title=""/>
          </v:shape>
        </w:pict>
      </w:r>
    </w:p>
    <w:p w:rsidR="004165EC" w:rsidRDefault="00C97C8E">
      <w:pPr>
        <w:spacing w:line="360" w:lineRule="auto"/>
        <w:ind w:firstLineChars="200" w:firstLine="420"/>
        <w:rPr>
          <w:rFonts w:ascii="宋体" w:hAnsi="宋体"/>
          <w:szCs w:val="21"/>
        </w:rPr>
      </w:pPr>
      <w:r>
        <w:rPr>
          <w:rFonts w:ascii="宋体" w:hAnsi="宋体"/>
          <w:position w:val="-10"/>
          <w:szCs w:val="21"/>
        </w:rPr>
        <w:pict>
          <v:shape id="图片 147" o:spid="_x0000_i1292" type="#_x0000_t75" style="width:84.75pt;height:18.75pt">
            <v:imagedata r:id="rId339" o:title=""/>
          </v:shape>
        </w:pict>
      </w:r>
      <w:r>
        <w:rPr>
          <w:rFonts w:ascii="宋体" w:hAnsi="宋体" w:hint="eastAsia"/>
          <w:szCs w:val="21"/>
        </w:rPr>
        <w:t>，令</w:t>
      </w:r>
      <w:r>
        <w:rPr>
          <w:rFonts w:ascii="宋体" w:hAnsi="宋体"/>
          <w:position w:val="-24"/>
          <w:szCs w:val="21"/>
        </w:rPr>
        <w:pict>
          <v:shape id="图片 148" o:spid="_x0000_i1293" type="#_x0000_t75" style="width:132pt;height:30.75pt">
            <v:imagedata r:id="rId340"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得到F的估计值：</w:t>
      </w:r>
      <w:r>
        <w:rPr>
          <w:rFonts w:ascii="宋体" w:hAnsi="宋体"/>
          <w:position w:val="-10"/>
          <w:szCs w:val="21"/>
        </w:rPr>
        <w:pict>
          <v:shape id="图片 149" o:spid="_x0000_i1294" type="#_x0000_t75" style="width:84pt;height:18.75pt">
            <v:imagedata r:id="rId341" o:title=""/>
          </v:shape>
        </w:pict>
      </w:r>
      <w:r>
        <w:rPr>
          <w:rFonts w:ascii="宋体" w:hAnsi="宋体" w:hint="eastAsia"/>
          <w:szCs w:val="21"/>
        </w:rPr>
        <w:t>，即为因子得分的最小二乘估计。</w:t>
      </w:r>
    </w:p>
    <w:p w:rsidR="004165EC" w:rsidRDefault="00C97C8E">
      <w:pPr>
        <w:spacing w:line="360" w:lineRule="auto"/>
        <w:ind w:firstLineChars="200" w:firstLine="420"/>
        <w:rPr>
          <w:rFonts w:ascii="宋体" w:hAnsi="宋体"/>
          <w:szCs w:val="21"/>
        </w:rPr>
      </w:pPr>
      <w:r>
        <w:rPr>
          <w:rFonts w:ascii="宋体" w:hAnsi="宋体" w:hint="eastAsia"/>
          <w:szCs w:val="21"/>
        </w:rPr>
        <w:t>同样对于样本</w:t>
      </w:r>
      <w:r>
        <w:rPr>
          <w:rFonts w:ascii="宋体" w:hAnsi="宋体"/>
          <w:position w:val="-14"/>
          <w:szCs w:val="21"/>
        </w:rPr>
        <w:pict>
          <v:shape id="图片 150" o:spid="_x0000_i1295" type="#_x0000_t75" style="width:21.75pt;height:18.75pt">
            <v:imagedata r:id="rId342" o:title=""/>
          </v:shape>
        </w:pict>
      </w:r>
      <w:r>
        <w:rPr>
          <w:rFonts w:ascii="宋体" w:hAnsi="宋体" w:hint="eastAsia"/>
          <w:szCs w:val="21"/>
        </w:rPr>
        <w:t>，因子得分为：</w:t>
      </w:r>
      <w:r>
        <w:rPr>
          <w:rFonts w:ascii="宋体" w:hAnsi="宋体"/>
          <w:position w:val="-14"/>
          <w:szCs w:val="21"/>
        </w:rPr>
        <w:pict>
          <v:shape id="图片 151" o:spid="_x0000_i1296" type="#_x0000_t75" style="width:156pt;height:21pt">
            <v:imagedata r:id="rId343" o:title=""/>
          </v:shape>
        </w:pict>
      </w:r>
    </w:p>
    <w:p w:rsidR="004165EC" w:rsidRDefault="00C97C8E">
      <w:pPr>
        <w:spacing w:line="360" w:lineRule="auto"/>
        <w:rPr>
          <w:rFonts w:ascii="宋体" w:hAnsi="宋体"/>
          <w:szCs w:val="21"/>
        </w:rPr>
      </w:pPr>
      <w:r>
        <w:rPr>
          <w:rFonts w:hint="eastAsia"/>
          <w:b/>
          <w:szCs w:val="21"/>
        </w:rPr>
        <w:t>2</w:t>
      </w:r>
      <w:r>
        <w:rPr>
          <w:rFonts w:hint="eastAsia"/>
          <w:b/>
          <w:szCs w:val="21"/>
        </w:rPr>
        <w:t>．</w:t>
      </w:r>
      <w:r>
        <w:rPr>
          <w:rFonts w:hint="eastAsia"/>
          <w:b/>
          <w:szCs w:val="21"/>
        </w:rPr>
        <w:t>4</w:t>
      </w:r>
      <w:r>
        <w:rPr>
          <w:rFonts w:hint="eastAsia"/>
          <w:b/>
          <w:szCs w:val="21"/>
        </w:rPr>
        <w:t>．</w:t>
      </w:r>
      <w:r>
        <w:rPr>
          <w:rFonts w:hint="eastAsia"/>
          <w:b/>
          <w:szCs w:val="21"/>
        </w:rPr>
        <w:t>2</w:t>
      </w:r>
      <w:r>
        <w:rPr>
          <w:b/>
          <w:szCs w:val="21"/>
        </w:rPr>
        <w:t xml:space="preserve"> </w:t>
      </w:r>
      <w:r>
        <w:rPr>
          <w:rFonts w:ascii="楷体_GB2312" w:eastAsia="楷体_GB2312" w:hAnsi="宋体" w:hint="eastAsia"/>
          <w:szCs w:val="21"/>
        </w:rPr>
        <w:t xml:space="preserve"> </w:t>
      </w:r>
      <w:r>
        <w:rPr>
          <w:rFonts w:ascii="黑体" w:eastAsia="黑体" w:hAnsi="宋体" w:hint="eastAsia"/>
          <w:b/>
          <w:szCs w:val="21"/>
        </w:rPr>
        <w:t>汤普森因子得分（回归法）</w:t>
      </w:r>
    </w:p>
    <w:p w:rsidR="004165EC" w:rsidRDefault="00C97C8E">
      <w:pPr>
        <w:spacing w:line="360" w:lineRule="auto"/>
        <w:ind w:firstLineChars="200" w:firstLine="420"/>
        <w:rPr>
          <w:rFonts w:ascii="宋体" w:hAnsi="宋体"/>
          <w:szCs w:val="21"/>
        </w:rPr>
      </w:pPr>
      <w:r>
        <w:rPr>
          <w:rFonts w:ascii="宋体" w:hAnsi="宋体" w:hint="eastAsia"/>
          <w:szCs w:val="21"/>
        </w:rPr>
        <w:t>假定变量</w:t>
      </w:r>
      <w:r>
        <w:rPr>
          <w:rFonts w:ascii="宋体" w:hAnsi="宋体"/>
          <w:position w:val="-4"/>
          <w:szCs w:val="21"/>
        </w:rPr>
        <w:pict>
          <v:shape id="图片 152" o:spid="_x0000_i1297" type="#_x0000_t75" style="width:14.25pt;height:12.75pt">
            <v:imagedata r:id="rId344" o:title=""/>
          </v:shape>
        </w:pict>
      </w:r>
      <w:r>
        <w:rPr>
          <w:rFonts w:ascii="宋体" w:hAnsi="宋体" w:hint="eastAsia"/>
          <w:szCs w:val="21"/>
        </w:rPr>
        <w:t>为标准化变量，公因子</w:t>
      </w:r>
      <w:r>
        <w:rPr>
          <w:rFonts w:ascii="宋体" w:hAnsi="宋体"/>
          <w:position w:val="-4"/>
          <w:szCs w:val="21"/>
        </w:rPr>
        <w:pict>
          <v:shape id="图片 153" o:spid="_x0000_i1298" type="#_x0000_t75" style="width:12.75pt;height:12.75pt">
            <v:imagedata r:id="rId345" o:title=""/>
          </v:shape>
        </w:pict>
      </w:r>
      <w:r>
        <w:rPr>
          <w:rFonts w:ascii="宋体" w:hAnsi="宋体" w:hint="eastAsia"/>
          <w:szCs w:val="21"/>
        </w:rPr>
        <w:t>也已标准化。</w:t>
      </w:r>
    </w:p>
    <w:p w:rsidR="004165EC" w:rsidRDefault="00C97C8E">
      <w:pPr>
        <w:spacing w:line="360" w:lineRule="auto"/>
        <w:ind w:firstLineChars="200" w:firstLine="420"/>
        <w:rPr>
          <w:rFonts w:ascii="宋体" w:hAnsi="宋体"/>
          <w:szCs w:val="21"/>
        </w:rPr>
      </w:pPr>
      <w:r>
        <w:rPr>
          <w:rFonts w:ascii="宋体" w:hAnsi="宋体" w:hint="eastAsia"/>
          <w:szCs w:val="21"/>
        </w:rPr>
        <w:t>在最小二乘法下对因子得分函数进行估计，得到公因子</w:t>
      </w:r>
      <w:r>
        <w:rPr>
          <w:rFonts w:ascii="宋体" w:hAnsi="宋体"/>
          <w:position w:val="-4"/>
          <w:szCs w:val="21"/>
        </w:rPr>
        <w:pict>
          <v:shape id="图片 154" o:spid="_x0000_i1299" type="#_x0000_t75" style="width:12.75pt;height:12.75pt">
            <v:imagedata r:id="rId346" o:title=""/>
          </v:shape>
        </w:pict>
      </w:r>
      <w:r>
        <w:rPr>
          <w:rFonts w:ascii="宋体" w:hAnsi="宋体" w:hint="eastAsia"/>
          <w:szCs w:val="21"/>
        </w:rPr>
        <w:t>对变量</w:t>
      </w:r>
      <w:r>
        <w:rPr>
          <w:rFonts w:ascii="宋体" w:hAnsi="宋体"/>
          <w:position w:val="-4"/>
          <w:szCs w:val="21"/>
        </w:rPr>
        <w:pict>
          <v:shape id="图片 155" o:spid="_x0000_i1300" type="#_x0000_t75" style="width:14.25pt;height:12.75pt">
            <v:imagedata r:id="rId347" o:title=""/>
          </v:shape>
        </w:pict>
      </w:r>
      <w:r>
        <w:rPr>
          <w:rFonts w:ascii="宋体" w:hAnsi="宋体" w:hint="eastAsia"/>
          <w:szCs w:val="21"/>
        </w:rPr>
        <w:t>满足如下回归方程：</w:t>
      </w:r>
      <w:r>
        <w:rPr>
          <w:rFonts w:ascii="宋体" w:hAnsi="宋体"/>
          <w:position w:val="-14"/>
          <w:szCs w:val="21"/>
        </w:rPr>
        <w:pict>
          <v:shape id="图片 156" o:spid="_x0000_i1301" type="#_x0000_t75" style="width:177.75pt;height:18.75pt">
            <v:imagedata r:id="rId348"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下面估计回归方程中的系数</w:t>
      </w:r>
      <w:r>
        <w:rPr>
          <w:rFonts w:ascii="宋体" w:hAnsi="宋体"/>
          <w:position w:val="-14"/>
          <w:szCs w:val="21"/>
        </w:rPr>
        <w:pict>
          <v:shape id="图片 157" o:spid="_x0000_i1302" type="#_x0000_t75" style="width:1in;height:18.75pt">
            <v:imagedata r:id="rId349" o:title=""/>
          </v:shape>
        </w:pic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上述</w:t>
      </w:r>
      <w:r>
        <w:rPr>
          <w:rFonts w:ascii="宋体" w:hAnsi="宋体"/>
          <w:position w:val="-6"/>
          <w:szCs w:val="21"/>
        </w:rPr>
        <w:pict>
          <v:shape id="图片 158" o:spid="_x0000_i1303" type="#_x0000_t75" style="width:12.75pt;height:11.25pt">
            <v:imagedata r:id="rId350" o:title=""/>
          </v:shape>
        </w:pict>
      </w:r>
      <w:proofErr w:type="gramStart"/>
      <w:r>
        <w:rPr>
          <w:rFonts w:ascii="宋体" w:hAnsi="宋体" w:hint="eastAsia"/>
          <w:szCs w:val="21"/>
        </w:rPr>
        <w:t>个</w:t>
      </w:r>
      <w:proofErr w:type="gramEnd"/>
      <w:r>
        <w:rPr>
          <w:rFonts w:ascii="宋体" w:hAnsi="宋体" w:hint="eastAsia"/>
          <w:szCs w:val="21"/>
        </w:rPr>
        <w:t>回归方程中</w:t>
      </w:r>
      <w:r>
        <w:rPr>
          <w:rFonts w:ascii="宋体" w:hAnsi="宋体"/>
          <w:position w:val="-12"/>
          <w:szCs w:val="21"/>
        </w:rPr>
        <w:pict>
          <v:shape id="图片 159" o:spid="_x0000_i1304" type="#_x0000_t75" style="width:47.25pt;height:18pt">
            <v:imagedata r:id="rId351" o:title=""/>
          </v:shape>
        </w:pict>
      </w:r>
      <w:r>
        <w:rPr>
          <w:rFonts w:ascii="宋体" w:hAnsi="宋体" w:hint="eastAsia"/>
          <w:szCs w:val="21"/>
        </w:rPr>
        <w:t>是未知待估量，已知条件是因子载荷矩阵</w:t>
      </w:r>
      <w:r>
        <w:rPr>
          <w:rFonts w:ascii="宋体" w:hAnsi="宋体"/>
          <w:position w:val="-4"/>
          <w:szCs w:val="21"/>
        </w:rPr>
        <w:pict>
          <v:shape id="图片 160" o:spid="_x0000_i1305" type="#_x0000_t75" style="width:12pt;height:12.75pt">
            <v:imagedata r:id="rId352" o:title=""/>
          </v:shape>
        </w:pict>
      </w:r>
      <w:r>
        <w:rPr>
          <w:rFonts w:ascii="宋体" w:hAnsi="宋体" w:hint="eastAsia"/>
          <w:szCs w:val="21"/>
        </w:rPr>
        <w:t>。</w:t>
      </w:r>
    </w:p>
    <w:p w:rsidR="004165EC" w:rsidRDefault="00C97C8E">
      <w:pPr>
        <w:spacing w:line="360" w:lineRule="auto"/>
        <w:ind w:firstLineChars="200" w:firstLine="420"/>
        <w:rPr>
          <w:rFonts w:ascii="宋体" w:hAnsi="宋体"/>
          <w:szCs w:val="21"/>
        </w:rPr>
      </w:pPr>
      <w:r>
        <w:rPr>
          <w:rFonts w:ascii="宋体" w:hAnsi="宋体" w:hint="eastAsia"/>
          <w:szCs w:val="21"/>
        </w:rPr>
        <w:t>由因子载荷的意义知：</w:t>
      </w:r>
    </w:p>
    <w:p w:rsidR="004165EC" w:rsidRDefault="00C97C8E">
      <w:pPr>
        <w:spacing w:line="360" w:lineRule="auto"/>
        <w:ind w:firstLineChars="200" w:firstLine="420"/>
        <w:rPr>
          <w:rFonts w:ascii="宋体" w:hAnsi="宋体"/>
          <w:szCs w:val="21"/>
        </w:rPr>
      </w:pPr>
      <w:r>
        <w:rPr>
          <w:rFonts w:ascii="宋体" w:hAnsi="宋体"/>
          <w:position w:val="-32"/>
          <w:szCs w:val="21"/>
        </w:rPr>
        <w:lastRenderedPageBreak/>
        <w:pict>
          <v:shape id="图片 161" o:spid="_x0000_i1306" type="#_x0000_t75" style="width:255.75pt;height:38.25pt">
            <v:imagedata r:id="rId353"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即：</w:t>
      </w:r>
      <w:r>
        <w:rPr>
          <w:rFonts w:ascii="宋体" w:hAnsi="宋体"/>
          <w:position w:val="-54"/>
          <w:szCs w:val="21"/>
        </w:rPr>
        <w:pict>
          <v:shape id="图片 162" o:spid="_x0000_i1307" type="#_x0000_t75" style="width:324pt;height:60pt">
            <v:imagedata r:id="rId354"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其中</w:t>
      </w:r>
      <w:r>
        <w:rPr>
          <w:rFonts w:ascii="宋体" w:hAnsi="宋体"/>
          <w:position w:val="-4"/>
          <w:szCs w:val="21"/>
        </w:rPr>
        <w:pict>
          <v:shape id="图片 163" o:spid="_x0000_i1308" type="#_x0000_t75" style="width:12pt;height:12.75pt">
            <v:imagedata r:id="rId355" o:title=""/>
          </v:shape>
        </w:pict>
      </w:r>
      <w:r>
        <w:rPr>
          <w:rFonts w:ascii="宋体" w:hAnsi="宋体" w:hint="eastAsia"/>
          <w:szCs w:val="21"/>
        </w:rPr>
        <w:t>为相关阵，</w:t>
      </w:r>
      <w:r>
        <w:rPr>
          <w:rFonts w:ascii="宋体" w:hAnsi="宋体"/>
          <w:position w:val="-14"/>
          <w:szCs w:val="21"/>
        </w:rPr>
        <w:pict>
          <v:shape id="图片 164" o:spid="_x0000_i1309" type="#_x0000_t75" style="width:288.75pt;height:21pt">
            <v:imagedata r:id="rId356"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令</w:t>
      </w:r>
      <w:r>
        <w:rPr>
          <w:rFonts w:ascii="宋体" w:hAnsi="宋体"/>
          <w:position w:val="-58"/>
          <w:szCs w:val="21"/>
        </w:rPr>
        <w:pict>
          <v:shape id="图片 165" o:spid="_x0000_i1310" type="#_x0000_t75" style="width:134.25pt;height:63.75pt">
            <v:imagedata r:id="rId357" o:title=""/>
          </v:shape>
        </w:pict>
      </w:r>
      <w:r>
        <w:rPr>
          <w:rFonts w:ascii="宋体" w:hAnsi="宋体" w:hint="eastAsia"/>
          <w:szCs w:val="21"/>
        </w:rPr>
        <w:t>，则有:</w:t>
      </w:r>
    </w:p>
    <w:p w:rsidR="004165EC" w:rsidRDefault="00C97C8E">
      <w:pPr>
        <w:spacing w:line="360" w:lineRule="auto"/>
        <w:ind w:firstLineChars="200" w:firstLine="420"/>
        <w:rPr>
          <w:rFonts w:ascii="宋体" w:hAnsi="宋体"/>
          <w:szCs w:val="21"/>
        </w:rPr>
      </w:pPr>
      <w:r>
        <w:rPr>
          <w:rFonts w:ascii="宋体" w:hAnsi="宋体"/>
          <w:position w:val="-54"/>
          <w:szCs w:val="21"/>
        </w:rPr>
        <w:pict>
          <v:shape id="图片 166" o:spid="_x0000_i1311" type="#_x0000_t75" style="width:173.25pt;height:60pt">
            <v:imagedata r:id="rId358" o:title=""/>
          </v:shape>
        </w:pict>
      </w:r>
    </w:p>
    <w:p w:rsidR="004165EC" w:rsidRDefault="00C97C8E">
      <w:pPr>
        <w:spacing w:line="360" w:lineRule="auto"/>
        <w:rPr>
          <w:rFonts w:ascii="宋体" w:hAnsi="宋体"/>
          <w:szCs w:val="21"/>
        </w:rPr>
      </w:pPr>
      <w:r>
        <w:rPr>
          <w:rFonts w:ascii="宋体" w:hAnsi="宋体" w:hint="eastAsia"/>
          <w:szCs w:val="21"/>
        </w:rPr>
        <w:t xml:space="preserve">    由此可得，利用回归法建立的公因子</w:t>
      </w:r>
      <w:r>
        <w:rPr>
          <w:rFonts w:ascii="宋体" w:hAnsi="宋体"/>
          <w:position w:val="-4"/>
          <w:szCs w:val="21"/>
        </w:rPr>
        <w:pict>
          <v:shape id="图片 167" o:spid="_x0000_i1312" type="#_x0000_t75" style="width:12.75pt;height:12.75pt">
            <v:imagedata r:id="rId359" o:title=""/>
          </v:shape>
        </w:pict>
      </w:r>
      <w:r>
        <w:rPr>
          <w:rFonts w:ascii="宋体" w:hAnsi="宋体" w:hint="eastAsia"/>
          <w:szCs w:val="21"/>
        </w:rPr>
        <w:t>对变量</w:t>
      </w:r>
      <w:r>
        <w:rPr>
          <w:rFonts w:ascii="宋体" w:hAnsi="宋体"/>
          <w:position w:val="-4"/>
          <w:szCs w:val="21"/>
        </w:rPr>
        <w:pict>
          <v:shape id="图片 168" o:spid="_x0000_i1313" type="#_x0000_t75" style="width:14.25pt;height:12.75pt">
            <v:imagedata r:id="rId360" o:title=""/>
          </v:shape>
        </w:pict>
      </w:r>
      <w:r>
        <w:rPr>
          <w:rFonts w:ascii="宋体" w:hAnsi="宋体" w:hint="eastAsia"/>
          <w:szCs w:val="21"/>
        </w:rPr>
        <w:t>的回归方程为：</w:t>
      </w:r>
    </w:p>
    <w:p w:rsidR="004165EC" w:rsidRDefault="00C97C8E">
      <w:pPr>
        <w:spacing w:line="360" w:lineRule="auto"/>
        <w:ind w:firstLineChars="200" w:firstLine="420"/>
        <w:rPr>
          <w:rFonts w:ascii="宋体" w:hAnsi="宋体"/>
          <w:szCs w:val="21"/>
        </w:rPr>
      </w:pPr>
      <w:r>
        <w:rPr>
          <w:rFonts w:ascii="宋体" w:hAnsi="宋体"/>
          <w:position w:val="-58"/>
          <w:szCs w:val="21"/>
        </w:rPr>
        <w:pict>
          <v:shape id="图片 169" o:spid="_x0000_i1314" type="#_x0000_t75" style="width:183pt;height:63.75pt">
            <v:imagedata r:id="rId361" o:title=""/>
          </v:shape>
        </w:pict>
      </w:r>
    </w:p>
    <w:p w:rsidR="004165EC" w:rsidRDefault="00C97C8E">
      <w:pPr>
        <w:spacing w:line="360" w:lineRule="auto"/>
        <w:ind w:firstLineChars="200" w:firstLine="420"/>
        <w:rPr>
          <w:rFonts w:ascii="宋体" w:hAnsi="宋体"/>
          <w:szCs w:val="21"/>
        </w:rPr>
      </w:pPr>
      <w:r>
        <w:rPr>
          <w:rFonts w:ascii="宋体" w:hAnsi="宋体" w:hint="eastAsia"/>
          <w:szCs w:val="21"/>
        </w:rPr>
        <w:t>由样本观测值计算相关阵</w:t>
      </w:r>
      <w:r>
        <w:rPr>
          <w:rFonts w:ascii="宋体" w:hAnsi="宋体"/>
          <w:position w:val="-4"/>
          <w:szCs w:val="21"/>
        </w:rPr>
        <w:pict>
          <v:shape id="图片 170" o:spid="_x0000_i1315" type="#_x0000_t75" style="width:12pt;height:12.75pt">
            <v:imagedata r:id="rId362" o:title=""/>
          </v:shape>
        </w:pict>
      </w:r>
      <w:r>
        <w:rPr>
          <w:rFonts w:ascii="宋体" w:hAnsi="宋体" w:hint="eastAsia"/>
          <w:szCs w:val="21"/>
        </w:rPr>
        <w:t>，估计因子载荷矩阵</w:t>
      </w:r>
      <w:r>
        <w:rPr>
          <w:rFonts w:ascii="宋体" w:hAnsi="宋体"/>
          <w:position w:val="-4"/>
          <w:szCs w:val="21"/>
        </w:rPr>
        <w:pict>
          <v:shape id="图片 171" o:spid="_x0000_i1316" type="#_x0000_t75" style="width:12pt;height:12.75pt">
            <v:imagedata r:id="rId363" o:title=""/>
          </v:shape>
        </w:pict>
      </w:r>
      <w:r>
        <w:rPr>
          <w:rFonts w:ascii="宋体" w:hAnsi="宋体" w:hint="eastAsia"/>
          <w:szCs w:val="21"/>
        </w:rPr>
        <w:t>，代入上式，就得到了因子得分函数</w:t>
      </w:r>
      <w:r>
        <w:rPr>
          <w:rFonts w:ascii="宋体" w:hAnsi="宋体"/>
          <w:position w:val="-4"/>
          <w:szCs w:val="21"/>
        </w:rPr>
        <w:pict>
          <v:shape id="图片 172" o:spid="_x0000_i1317" type="#_x0000_t75" style="width:12.75pt;height:15.75pt">
            <v:imagedata r:id="rId364" o:title=""/>
          </v:shape>
        </w:pict>
      </w:r>
      <w:r>
        <w:rPr>
          <w:rFonts w:ascii="宋体" w:hAnsi="宋体" w:hint="eastAsia"/>
          <w:szCs w:val="21"/>
        </w:rPr>
        <w:t>，即为汤普森因子得分。</w:t>
      </w:r>
    </w:p>
    <w:p w:rsidR="004165EC" w:rsidRDefault="00C97C8E">
      <w:pPr>
        <w:spacing w:line="360" w:lineRule="auto"/>
        <w:ind w:firstLineChars="200" w:firstLine="420"/>
        <w:rPr>
          <w:rFonts w:ascii="宋体" w:hAnsi="宋体"/>
          <w:szCs w:val="21"/>
        </w:rPr>
      </w:pPr>
      <w:r>
        <w:rPr>
          <w:rFonts w:ascii="宋体" w:hAnsi="宋体" w:hint="eastAsia"/>
          <w:szCs w:val="21"/>
        </w:rPr>
        <w:t>目前为止，对于两种得分方法的优劣评价不一。</w:t>
      </w:r>
    </w:p>
    <w:p w:rsidR="004165EC" w:rsidRDefault="00C97C8E">
      <w:pPr>
        <w:spacing w:line="360" w:lineRule="auto"/>
        <w:rPr>
          <w:rFonts w:ascii="楷体_GB2312" w:eastAsia="楷体_GB2312" w:hAnsi="宋体"/>
          <w:szCs w:val="21"/>
        </w:rPr>
      </w:pPr>
      <w:r>
        <w:rPr>
          <w:rFonts w:ascii="黑体" w:eastAsia="黑体" w:hAnsi="宋体" w:hint="eastAsia"/>
          <w:b/>
          <w:szCs w:val="21"/>
        </w:rPr>
        <w:t>2.5  因子分析的计算步骤</w:t>
      </w:r>
    </w:p>
    <w:p w:rsidR="004165EC" w:rsidRDefault="00C97C8E">
      <w:pPr>
        <w:spacing w:line="360" w:lineRule="auto"/>
        <w:ind w:firstLineChars="200" w:firstLine="420"/>
        <w:rPr>
          <w:rFonts w:ascii="宋体" w:hAnsi="宋体"/>
          <w:szCs w:val="21"/>
        </w:rPr>
      </w:pPr>
      <w:r>
        <w:rPr>
          <w:rFonts w:ascii="宋体" w:hAnsi="宋体" w:hint="eastAsia"/>
          <w:szCs w:val="21"/>
        </w:rPr>
        <w:t>根据以上的讨论可以总结出因子分析的计算步骤如下：</w:t>
      </w:r>
    </w:p>
    <w:p w:rsidR="004165EC" w:rsidRDefault="00C97C8E">
      <w:pPr>
        <w:numPr>
          <w:ilvl w:val="0"/>
          <w:numId w:val="8"/>
        </w:numPr>
        <w:spacing w:line="360" w:lineRule="auto"/>
        <w:ind w:firstLineChars="200" w:firstLine="420"/>
        <w:rPr>
          <w:rFonts w:ascii="宋体" w:hAnsi="宋体"/>
          <w:szCs w:val="21"/>
        </w:rPr>
      </w:pPr>
      <w:r>
        <w:rPr>
          <w:rFonts w:ascii="宋体" w:hAnsi="宋体" w:hint="eastAsia"/>
          <w:szCs w:val="21"/>
        </w:rPr>
        <w:t>选择要分析的变量并计算所选原始变量指标的相关系数矩阵</w:t>
      </w:r>
      <w:r>
        <w:rPr>
          <w:rFonts w:ascii="宋体" w:hAnsi="宋体"/>
          <w:position w:val="-4"/>
          <w:szCs w:val="21"/>
        </w:rPr>
        <w:pict>
          <v:shape id="图片 173" o:spid="_x0000_i1318" type="#_x0000_t75" style="width:12pt;height:12.75pt">
            <v:imagedata r:id="rId365" o:title=""/>
          </v:shape>
        </w:pict>
      </w:r>
      <w:r>
        <w:rPr>
          <w:rFonts w:ascii="宋体" w:hAnsi="宋体" w:hint="eastAsia"/>
          <w:szCs w:val="21"/>
        </w:rPr>
        <w:t>。因子分析的前提是观测变量之间具有较强的相关性，而相关系数矩阵描述了变量之间的关系，可以辅助判断原始变量之间是否具有相关关系，同时相关系数矩阵也是估计因子结构的基础。</w:t>
      </w:r>
    </w:p>
    <w:p w:rsidR="004165EC" w:rsidRDefault="00C97C8E">
      <w:pPr>
        <w:numPr>
          <w:ilvl w:val="0"/>
          <w:numId w:val="8"/>
        </w:numPr>
        <w:spacing w:line="360" w:lineRule="auto"/>
        <w:ind w:firstLineChars="200" w:firstLine="420"/>
        <w:rPr>
          <w:rFonts w:ascii="宋体" w:hAnsi="宋体"/>
          <w:szCs w:val="21"/>
        </w:rPr>
      </w:pPr>
      <w:r>
        <w:rPr>
          <w:rFonts w:ascii="宋体" w:hAnsi="宋体" w:hint="eastAsia"/>
          <w:szCs w:val="21"/>
        </w:rPr>
        <w:t>提取公因子。首先要确定因子求解的方法及因子的个数，本文采用主成分方法。因子个数根据累积方差贡献率确定，一般认为要达到60%以上才符合标准。</w:t>
      </w:r>
    </w:p>
    <w:p w:rsidR="004165EC" w:rsidRDefault="00C97C8E">
      <w:pPr>
        <w:numPr>
          <w:ilvl w:val="0"/>
          <w:numId w:val="8"/>
        </w:numPr>
        <w:spacing w:line="360" w:lineRule="auto"/>
        <w:ind w:firstLineChars="200" w:firstLine="420"/>
        <w:rPr>
          <w:rFonts w:ascii="宋体" w:hAnsi="宋体"/>
          <w:szCs w:val="21"/>
        </w:rPr>
      </w:pPr>
      <w:r>
        <w:rPr>
          <w:rFonts w:ascii="宋体" w:hAnsi="宋体" w:hint="eastAsia"/>
          <w:szCs w:val="21"/>
        </w:rPr>
        <w:t>因子旋转。通过坐标变换使每个原始变量在尽可能少的因子之间具有密切关系，这样因子解才具有更明显的实际意义。</w:t>
      </w:r>
    </w:p>
    <w:p w:rsidR="004165EC" w:rsidRPr="00C97C8E" w:rsidRDefault="00C97C8E" w:rsidP="00C97C8E">
      <w:pPr>
        <w:numPr>
          <w:ilvl w:val="0"/>
          <w:numId w:val="8"/>
        </w:numPr>
        <w:spacing w:line="360" w:lineRule="auto"/>
        <w:ind w:firstLineChars="200" w:firstLine="420"/>
        <w:rPr>
          <w:rFonts w:ascii="宋体" w:hAnsi="宋体"/>
          <w:szCs w:val="21"/>
        </w:rPr>
      </w:pPr>
      <w:r>
        <w:rPr>
          <w:rFonts w:ascii="宋体" w:hAnsi="宋体" w:hint="eastAsia"/>
          <w:szCs w:val="21"/>
        </w:rPr>
        <w:t>计算因子得分。</w:t>
      </w:r>
    </w:p>
    <w:sectPr w:rsidR="004165EC" w:rsidRPr="00C97C8E">
      <w:type w:val="continuous"/>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65D1A"/>
    <w:multiLevelType w:val="multilevel"/>
    <w:tmpl w:val="0D565D1A"/>
    <w:lvl w:ilvl="0">
      <w:start w:val="1"/>
      <w:numFmt w:val="decimal"/>
      <w:lvlText w:val="%1."/>
      <w:lvlJc w:val="left"/>
      <w:pPr>
        <w:ind w:left="360" w:hanging="360"/>
      </w:pPr>
      <w:rPr>
        <w:rFonts w:hint="default"/>
      </w:rPr>
    </w:lvl>
    <w:lvl w:ilvl="1" w:tentative="1">
      <w:start w:val="2"/>
      <w:numFmt w:val="decimal"/>
      <w:isLgl/>
      <w:lvlText w:val="%1.%2"/>
      <w:lvlJc w:val="left"/>
      <w:pPr>
        <w:ind w:left="840" w:hanging="630"/>
      </w:pPr>
      <w:rPr>
        <w:rFonts w:hint="default"/>
      </w:rPr>
    </w:lvl>
    <w:lvl w:ilvl="2" w:tentative="1">
      <w:start w:val="2"/>
      <w:numFmt w:val="decimal"/>
      <w:isLgl/>
      <w:lvlText w:val="%1.%2.%3"/>
      <w:lvlJc w:val="left"/>
      <w:pPr>
        <w:ind w:left="1140" w:hanging="720"/>
      </w:pPr>
      <w:rPr>
        <w:rFonts w:hint="default"/>
      </w:rPr>
    </w:lvl>
    <w:lvl w:ilvl="3" w:tentative="1">
      <w:start w:val="1"/>
      <w:numFmt w:val="decimal"/>
      <w:isLgl/>
      <w:lvlText w:val="%1.%2.%3.%4"/>
      <w:lvlJc w:val="left"/>
      <w:pPr>
        <w:ind w:left="1710" w:hanging="1080"/>
      </w:pPr>
      <w:rPr>
        <w:rFonts w:hint="default"/>
      </w:rPr>
    </w:lvl>
    <w:lvl w:ilvl="4" w:tentative="1">
      <w:start w:val="1"/>
      <w:numFmt w:val="decimal"/>
      <w:isLgl/>
      <w:lvlText w:val="%1.%2.%3.%4.%5"/>
      <w:lvlJc w:val="left"/>
      <w:pPr>
        <w:ind w:left="1920" w:hanging="1080"/>
      </w:pPr>
      <w:rPr>
        <w:rFonts w:hint="default"/>
      </w:rPr>
    </w:lvl>
    <w:lvl w:ilvl="5" w:tentative="1">
      <w:start w:val="1"/>
      <w:numFmt w:val="decimal"/>
      <w:isLgl/>
      <w:lvlText w:val="%1.%2.%3.%4.%5.%6"/>
      <w:lvlJc w:val="left"/>
      <w:pPr>
        <w:ind w:left="2490" w:hanging="1440"/>
      </w:pPr>
      <w:rPr>
        <w:rFonts w:hint="default"/>
      </w:rPr>
    </w:lvl>
    <w:lvl w:ilvl="6" w:tentative="1">
      <w:start w:val="1"/>
      <w:numFmt w:val="decimal"/>
      <w:isLgl/>
      <w:lvlText w:val="%1.%2.%3.%4.%5.%6.%7"/>
      <w:lvlJc w:val="left"/>
      <w:pPr>
        <w:ind w:left="2700" w:hanging="1440"/>
      </w:pPr>
      <w:rPr>
        <w:rFonts w:hint="default"/>
      </w:rPr>
    </w:lvl>
    <w:lvl w:ilvl="7" w:tentative="1">
      <w:start w:val="1"/>
      <w:numFmt w:val="decimal"/>
      <w:isLgl/>
      <w:lvlText w:val="%1.%2.%3.%4.%5.%6.%7.%8"/>
      <w:lvlJc w:val="left"/>
      <w:pPr>
        <w:ind w:left="3270" w:hanging="1800"/>
      </w:pPr>
      <w:rPr>
        <w:rFonts w:hint="default"/>
      </w:rPr>
    </w:lvl>
    <w:lvl w:ilvl="8" w:tentative="1">
      <w:start w:val="1"/>
      <w:numFmt w:val="decimal"/>
      <w:isLgl/>
      <w:lvlText w:val="%1.%2.%3.%4.%5.%6.%7.%8.%9"/>
      <w:lvlJc w:val="left"/>
      <w:pPr>
        <w:ind w:left="3480" w:hanging="1800"/>
      </w:pPr>
      <w:rPr>
        <w:rFonts w:hint="default"/>
      </w:rPr>
    </w:lvl>
  </w:abstractNum>
  <w:abstractNum w:abstractNumId="1">
    <w:nsid w:val="287C63C8"/>
    <w:multiLevelType w:val="multilevel"/>
    <w:tmpl w:val="287C63C8"/>
    <w:lvl w:ilvl="0">
      <w:start w:val="1"/>
      <w:numFmt w:val="decimal"/>
      <w:lvlText w:val="（%1）"/>
      <w:lvlJc w:val="left"/>
      <w:pPr>
        <w:ind w:left="1140" w:hanging="72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
    <w:nsid w:val="53647ACF"/>
    <w:multiLevelType w:val="singleLevel"/>
    <w:tmpl w:val="53647ACF"/>
    <w:lvl w:ilvl="0">
      <w:start w:val="1"/>
      <w:numFmt w:val="decimal"/>
      <w:suff w:val="nothing"/>
      <w:lvlText w:val="（%1）"/>
      <w:lvlJc w:val="left"/>
    </w:lvl>
  </w:abstractNum>
  <w:abstractNum w:abstractNumId="3">
    <w:nsid w:val="5464022C"/>
    <w:multiLevelType w:val="singleLevel"/>
    <w:tmpl w:val="5464022C"/>
    <w:lvl w:ilvl="0">
      <w:start w:val="1"/>
      <w:numFmt w:val="decimal"/>
      <w:suff w:val="nothing"/>
      <w:lvlText w:val="（%1）"/>
      <w:lvlJc w:val="left"/>
    </w:lvl>
  </w:abstractNum>
  <w:abstractNum w:abstractNumId="4">
    <w:nsid w:val="54982429"/>
    <w:multiLevelType w:val="singleLevel"/>
    <w:tmpl w:val="54982429"/>
    <w:lvl w:ilvl="0">
      <w:start w:val="1"/>
      <w:numFmt w:val="decimal"/>
      <w:suff w:val="nothing"/>
      <w:lvlText w:val="（%1）"/>
      <w:lvlJc w:val="left"/>
    </w:lvl>
  </w:abstractNum>
  <w:abstractNum w:abstractNumId="5">
    <w:nsid w:val="54982448"/>
    <w:multiLevelType w:val="singleLevel"/>
    <w:tmpl w:val="54982448"/>
    <w:lvl w:ilvl="0">
      <w:start w:val="1"/>
      <w:numFmt w:val="decimal"/>
      <w:suff w:val="nothing"/>
      <w:lvlText w:val="（%1）"/>
      <w:lvlJc w:val="left"/>
    </w:lvl>
  </w:abstractNum>
  <w:abstractNum w:abstractNumId="6">
    <w:nsid w:val="54982C95"/>
    <w:multiLevelType w:val="singleLevel"/>
    <w:tmpl w:val="54982C95"/>
    <w:lvl w:ilvl="0">
      <w:start w:val="1"/>
      <w:numFmt w:val="decimal"/>
      <w:suff w:val="nothing"/>
      <w:lvlText w:val="（%1）"/>
      <w:lvlJc w:val="left"/>
    </w:lvl>
  </w:abstractNum>
  <w:abstractNum w:abstractNumId="7">
    <w:nsid w:val="54986966"/>
    <w:multiLevelType w:val="singleLevel"/>
    <w:tmpl w:val="54986966"/>
    <w:lvl w:ilvl="0">
      <w:start w:val="1"/>
      <w:numFmt w:val="decimal"/>
      <w:suff w:val="nothing"/>
      <w:lvlText w:val="%1."/>
      <w:lvlJc w:val="left"/>
    </w:lvl>
  </w:abstractNum>
  <w:num w:numId="1">
    <w:abstractNumId w:val="1"/>
  </w:num>
  <w:num w:numId="2">
    <w:abstractNumId w:val="5"/>
  </w:num>
  <w:num w:numId="3">
    <w:abstractNumId w:val="4"/>
  </w:num>
  <w:num w:numId="4">
    <w:abstractNumId w:val="6"/>
  </w:num>
  <w:num w:numId="5">
    <w:abstractNumId w:val="7"/>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oNotTrackMoves/>
  <w:defaultTabStop w:val="420"/>
  <w:drawingGridVerticalSpacing w:val="156"/>
  <w:noPunctuationKerning/>
  <w:characterSpacingControl w:val="compressPunctuation"/>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5E86"/>
    <w:rsid w:val="00042C2D"/>
    <w:rsid w:val="00064B7B"/>
    <w:rsid w:val="0007164E"/>
    <w:rsid w:val="00081C2F"/>
    <w:rsid w:val="000D2FCF"/>
    <w:rsid w:val="00111B45"/>
    <w:rsid w:val="00146468"/>
    <w:rsid w:val="0017065F"/>
    <w:rsid w:val="001C668B"/>
    <w:rsid w:val="001D3B99"/>
    <w:rsid w:val="001E1314"/>
    <w:rsid w:val="001E1B30"/>
    <w:rsid w:val="00214618"/>
    <w:rsid w:val="002349D1"/>
    <w:rsid w:val="002368CE"/>
    <w:rsid w:val="002850BE"/>
    <w:rsid w:val="002957DD"/>
    <w:rsid w:val="002A1A9B"/>
    <w:rsid w:val="002D02D6"/>
    <w:rsid w:val="002D5C46"/>
    <w:rsid w:val="002E3907"/>
    <w:rsid w:val="00302842"/>
    <w:rsid w:val="003309AB"/>
    <w:rsid w:val="00374979"/>
    <w:rsid w:val="00374C19"/>
    <w:rsid w:val="00395482"/>
    <w:rsid w:val="003B17A5"/>
    <w:rsid w:val="003B3848"/>
    <w:rsid w:val="003B715B"/>
    <w:rsid w:val="003B7683"/>
    <w:rsid w:val="003C15A5"/>
    <w:rsid w:val="003D75AC"/>
    <w:rsid w:val="003E2ED1"/>
    <w:rsid w:val="003E5976"/>
    <w:rsid w:val="003E7E07"/>
    <w:rsid w:val="00401528"/>
    <w:rsid w:val="00401646"/>
    <w:rsid w:val="004165EC"/>
    <w:rsid w:val="0043107F"/>
    <w:rsid w:val="0043516B"/>
    <w:rsid w:val="0045527B"/>
    <w:rsid w:val="00460349"/>
    <w:rsid w:val="00477CDF"/>
    <w:rsid w:val="004930A4"/>
    <w:rsid w:val="00494692"/>
    <w:rsid w:val="004C28F8"/>
    <w:rsid w:val="004D6846"/>
    <w:rsid w:val="00502BB2"/>
    <w:rsid w:val="005713D1"/>
    <w:rsid w:val="00577060"/>
    <w:rsid w:val="00581DDF"/>
    <w:rsid w:val="005A0389"/>
    <w:rsid w:val="005A25C6"/>
    <w:rsid w:val="005D3019"/>
    <w:rsid w:val="0061121B"/>
    <w:rsid w:val="0066478A"/>
    <w:rsid w:val="006A0B75"/>
    <w:rsid w:val="006B371C"/>
    <w:rsid w:val="006B5EE2"/>
    <w:rsid w:val="006E324D"/>
    <w:rsid w:val="00700954"/>
    <w:rsid w:val="007417A6"/>
    <w:rsid w:val="007706A6"/>
    <w:rsid w:val="007A6D8C"/>
    <w:rsid w:val="007C06C1"/>
    <w:rsid w:val="007C0D4F"/>
    <w:rsid w:val="007D7078"/>
    <w:rsid w:val="007E652F"/>
    <w:rsid w:val="00816002"/>
    <w:rsid w:val="00835EC4"/>
    <w:rsid w:val="00872E45"/>
    <w:rsid w:val="00883F80"/>
    <w:rsid w:val="00895BEB"/>
    <w:rsid w:val="008A24F2"/>
    <w:rsid w:val="008C5515"/>
    <w:rsid w:val="00901202"/>
    <w:rsid w:val="00912654"/>
    <w:rsid w:val="009232D4"/>
    <w:rsid w:val="00952D89"/>
    <w:rsid w:val="00964BA4"/>
    <w:rsid w:val="00985A9B"/>
    <w:rsid w:val="009B7A74"/>
    <w:rsid w:val="00A310E6"/>
    <w:rsid w:val="00A4206B"/>
    <w:rsid w:val="00A501F8"/>
    <w:rsid w:val="00A50775"/>
    <w:rsid w:val="00A633E3"/>
    <w:rsid w:val="00A73661"/>
    <w:rsid w:val="00A9046C"/>
    <w:rsid w:val="00AB41A1"/>
    <w:rsid w:val="00AC0CC8"/>
    <w:rsid w:val="00AE1870"/>
    <w:rsid w:val="00B05359"/>
    <w:rsid w:val="00B123E9"/>
    <w:rsid w:val="00B1410A"/>
    <w:rsid w:val="00B413CD"/>
    <w:rsid w:val="00B561B6"/>
    <w:rsid w:val="00B7747E"/>
    <w:rsid w:val="00BB5A00"/>
    <w:rsid w:val="00BD43E5"/>
    <w:rsid w:val="00BF3008"/>
    <w:rsid w:val="00C47F76"/>
    <w:rsid w:val="00C97C8E"/>
    <w:rsid w:val="00CC4B51"/>
    <w:rsid w:val="00CD29AB"/>
    <w:rsid w:val="00CF2910"/>
    <w:rsid w:val="00CF4679"/>
    <w:rsid w:val="00CF7C21"/>
    <w:rsid w:val="00D12CEE"/>
    <w:rsid w:val="00D225D6"/>
    <w:rsid w:val="00D24B7E"/>
    <w:rsid w:val="00D27182"/>
    <w:rsid w:val="00DE42FD"/>
    <w:rsid w:val="00DF3B11"/>
    <w:rsid w:val="00E703CE"/>
    <w:rsid w:val="00E71312"/>
    <w:rsid w:val="00E75E86"/>
    <w:rsid w:val="00E76383"/>
    <w:rsid w:val="00EA5887"/>
    <w:rsid w:val="00F20183"/>
    <w:rsid w:val="00F3463E"/>
    <w:rsid w:val="00F4699D"/>
    <w:rsid w:val="00FB2A92"/>
    <w:rsid w:val="01BF560D"/>
    <w:rsid w:val="03084F1F"/>
    <w:rsid w:val="038369CF"/>
    <w:rsid w:val="069C7CC4"/>
    <w:rsid w:val="09CE48A6"/>
    <w:rsid w:val="0C9C2B88"/>
    <w:rsid w:val="0EAF40A4"/>
    <w:rsid w:val="101114C9"/>
    <w:rsid w:val="14732F9B"/>
    <w:rsid w:val="14DF5584"/>
    <w:rsid w:val="157C07DB"/>
    <w:rsid w:val="1C2D3246"/>
    <w:rsid w:val="1CFE17B2"/>
    <w:rsid w:val="1DBC6CDD"/>
    <w:rsid w:val="1EB12291"/>
    <w:rsid w:val="1FCC1E7B"/>
    <w:rsid w:val="207E62A2"/>
    <w:rsid w:val="233E0BD8"/>
    <w:rsid w:val="23F53C41"/>
    <w:rsid w:val="24CF77D7"/>
    <w:rsid w:val="25044920"/>
    <w:rsid w:val="2681373E"/>
    <w:rsid w:val="26AC533F"/>
    <w:rsid w:val="27B53233"/>
    <w:rsid w:val="2860321B"/>
    <w:rsid w:val="289C7436"/>
    <w:rsid w:val="2A9845F0"/>
    <w:rsid w:val="2C3C1CCE"/>
    <w:rsid w:val="2EB72421"/>
    <w:rsid w:val="3195547A"/>
    <w:rsid w:val="339733AC"/>
    <w:rsid w:val="347E3BAB"/>
    <w:rsid w:val="35990E80"/>
    <w:rsid w:val="371A1B6C"/>
    <w:rsid w:val="372956FC"/>
    <w:rsid w:val="37A44758"/>
    <w:rsid w:val="38AD71CE"/>
    <w:rsid w:val="394A250A"/>
    <w:rsid w:val="394B380F"/>
    <w:rsid w:val="39923458"/>
    <w:rsid w:val="3D033FB9"/>
    <w:rsid w:val="3D87287F"/>
    <w:rsid w:val="3F4118F9"/>
    <w:rsid w:val="3F9B4224"/>
    <w:rsid w:val="400B206C"/>
    <w:rsid w:val="417D7544"/>
    <w:rsid w:val="424B486E"/>
    <w:rsid w:val="446631C8"/>
    <w:rsid w:val="45E84ABD"/>
    <w:rsid w:val="47E40172"/>
    <w:rsid w:val="494C553D"/>
    <w:rsid w:val="4BAD1824"/>
    <w:rsid w:val="4E992F9E"/>
    <w:rsid w:val="4F302E0E"/>
    <w:rsid w:val="51345186"/>
    <w:rsid w:val="53BE6BF7"/>
    <w:rsid w:val="54641DA5"/>
    <w:rsid w:val="55FD7BA1"/>
    <w:rsid w:val="58D02EC2"/>
    <w:rsid w:val="5D8C59A3"/>
    <w:rsid w:val="5F076875"/>
    <w:rsid w:val="5F1A3317"/>
    <w:rsid w:val="605B1725"/>
    <w:rsid w:val="63845454"/>
    <w:rsid w:val="6A752B16"/>
    <w:rsid w:val="6B8A3ACC"/>
    <w:rsid w:val="6D5D5A6E"/>
    <w:rsid w:val="6F655ACF"/>
    <w:rsid w:val="6F936D70"/>
    <w:rsid w:val="722056F1"/>
    <w:rsid w:val="74CA3328"/>
    <w:rsid w:val="77660E3F"/>
    <w:rsid w:val="7B556765"/>
    <w:rsid w:val="7F9E2C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3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Pr>
      <w:sz w:val="18"/>
      <w:szCs w:val="18"/>
    </w:rPr>
  </w:style>
  <w:style w:type="paragraph" w:styleId="a4">
    <w:name w:val="footer"/>
    <w:basedOn w:val="a"/>
    <w:link w:val="Char0"/>
    <w:uiPriority w:val="99"/>
    <w:unhideWhenUsed/>
    <w:pPr>
      <w:tabs>
        <w:tab w:val="center" w:pos="4153"/>
        <w:tab w:val="right" w:pos="8306"/>
      </w:tabs>
      <w:snapToGrid w:val="0"/>
      <w:jc w:val="left"/>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pPr>
      <w:widowControl/>
      <w:jc w:val="left"/>
    </w:pPr>
    <w:rPr>
      <w:rFonts w:ascii="宋体" w:hAnsi="宋体" w:cs="宋体"/>
      <w:kern w:val="0"/>
      <w:sz w:val="24"/>
      <w:szCs w:val="24"/>
    </w:rPr>
  </w:style>
  <w:style w:type="character" w:styleId="a7">
    <w:name w:val="Hyperlink"/>
    <w:unhideWhenUsed/>
    <w:rPr>
      <w:color w:val="0000FF"/>
      <w:u w:val="single"/>
    </w:rPr>
  </w:style>
  <w:style w:type="table" w:styleId="a8">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Shading Accent 1"/>
    <w:basedOn w:val="a1"/>
    <w:uiPriority w:val="60"/>
    <w:rPr>
      <w:color w:val="365F9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tcBorders>
          <w:top w:val="nil"/>
          <w:left w:val="nil"/>
          <w:bottom w:val="nil"/>
          <w:right w:val="nil"/>
          <w:insideH w:val="nil"/>
          <w:insideV w:val="nil"/>
          <w:tl2br w:val="nil"/>
          <w:tr2bl w:val="nil"/>
        </w:tcBorders>
        <w:shd w:val="clear" w:color="auto" w:fill="D3DFEE"/>
      </w:tcPr>
    </w:tblStylePr>
  </w:style>
  <w:style w:type="table" w:styleId="-5">
    <w:name w:val="Light Shading Accent 5"/>
    <w:basedOn w:val="a1"/>
    <w:uiPriority w:val="60"/>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2EAF1"/>
      </w:tcPr>
    </w:tblStylePr>
    <w:tblStylePr w:type="band1Horz">
      <w:tblPr/>
      <w:tcPr>
        <w:tcBorders>
          <w:top w:val="nil"/>
          <w:left w:val="nil"/>
          <w:bottom w:val="nil"/>
          <w:right w:val="nil"/>
          <w:insideH w:val="nil"/>
          <w:insideV w:val="nil"/>
          <w:tl2br w:val="nil"/>
          <w:tr2bl w:val="nil"/>
        </w:tcBorders>
        <w:shd w:val="clear" w:color="auto" w:fill="D2EAF1"/>
      </w:tcPr>
    </w:tblStylePr>
  </w:style>
  <w:style w:type="paragraph" w:customStyle="1" w:styleId="10">
    <w:name w:val="列出段落1"/>
    <w:basedOn w:val="a"/>
    <w:uiPriority w:val="34"/>
    <w:qFormat/>
    <w:pPr>
      <w:ind w:firstLineChars="200" w:firstLine="420"/>
    </w:pPr>
  </w:style>
  <w:style w:type="paragraph" w:customStyle="1" w:styleId="MTDisplayEquation">
    <w:name w:val="MTDisplayEquation"/>
    <w:basedOn w:val="a"/>
    <w:next w:val="a"/>
    <w:link w:val="MTDisplayEquationChar"/>
    <w:pPr>
      <w:tabs>
        <w:tab w:val="center" w:pos="4160"/>
        <w:tab w:val="right" w:pos="8300"/>
      </w:tabs>
      <w:spacing w:line="360" w:lineRule="auto"/>
    </w:pPr>
    <w:rPr>
      <w:rFonts w:ascii="楷体" w:eastAsia="楷体" w:hAnsi="楷体" w:cs="Times New Roman"/>
      <w:sz w:val="24"/>
      <w:szCs w:val="24"/>
    </w:rPr>
  </w:style>
  <w:style w:type="paragraph" w:customStyle="1" w:styleId="20">
    <w:name w:val="列出段落2"/>
    <w:basedOn w:val="a"/>
    <w:uiPriority w:val="34"/>
    <w:qFormat/>
    <w:pPr>
      <w:ind w:firstLineChars="200" w:firstLine="420"/>
    </w:pPr>
    <w:rPr>
      <w:rFonts w:cs="Times New Roman"/>
    </w:rPr>
  </w:style>
  <w:style w:type="character" w:customStyle="1" w:styleId="1Char">
    <w:name w:val="标题 1 Char"/>
    <w:link w:val="1"/>
    <w:uiPriority w:val="9"/>
    <w:rPr>
      <w:b/>
      <w:bCs/>
      <w:kern w:val="44"/>
      <w:sz w:val="44"/>
      <w:szCs w:val="44"/>
    </w:rPr>
  </w:style>
  <w:style w:type="character" w:customStyle="1" w:styleId="2Char">
    <w:name w:val="标题 2 Char"/>
    <w:link w:val="2"/>
    <w:uiPriority w:val="9"/>
    <w:rPr>
      <w:rFonts w:ascii="Cambria" w:eastAsia="宋体" w:hAnsi="Cambria" w:cs="黑体"/>
      <w:b/>
      <w:bCs/>
      <w:sz w:val="32"/>
      <w:szCs w:val="32"/>
    </w:rPr>
  </w:style>
  <w:style w:type="character" w:customStyle="1" w:styleId="Char1">
    <w:name w:val="页眉 Char"/>
    <w:link w:val="a5"/>
    <w:uiPriority w:val="99"/>
    <w:rPr>
      <w:sz w:val="18"/>
      <w:szCs w:val="18"/>
    </w:rPr>
  </w:style>
  <w:style w:type="character" w:customStyle="1" w:styleId="Char0">
    <w:name w:val="页脚 Char"/>
    <w:link w:val="a4"/>
    <w:uiPriority w:val="99"/>
    <w:rPr>
      <w:sz w:val="18"/>
      <w:szCs w:val="18"/>
    </w:rPr>
  </w:style>
  <w:style w:type="character" w:customStyle="1" w:styleId="Char">
    <w:name w:val="批注框文本 Char"/>
    <w:link w:val="a3"/>
    <w:uiPriority w:val="99"/>
    <w:semiHidden/>
    <w:rPr>
      <w:sz w:val="18"/>
      <w:szCs w:val="18"/>
    </w:rPr>
  </w:style>
  <w:style w:type="character" w:customStyle="1" w:styleId="font11">
    <w:name w:val="font11"/>
    <w:rPr>
      <w:rFonts w:ascii="Arial" w:hAnsi="Arial" w:cs="Arial"/>
      <w:color w:val="000000"/>
      <w:sz w:val="21"/>
      <w:szCs w:val="21"/>
      <w:u w:val="none"/>
    </w:rPr>
  </w:style>
  <w:style w:type="character" w:customStyle="1" w:styleId="MTDisplayEquationChar">
    <w:name w:val="MTDisplayEquation Char"/>
    <w:link w:val="MTDisplayEquation"/>
    <w:rPr>
      <w:rFonts w:ascii="楷体" w:eastAsia="楷体" w:hAnsi="楷体"/>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99" Type="http://schemas.openxmlformats.org/officeDocument/2006/relationships/image" Target="media/image234.wmf"/><Relationship Id="rId21" Type="http://schemas.openxmlformats.org/officeDocument/2006/relationships/oleObject" Target="embeddings/oleObject5.bin"/><Relationship Id="rId63" Type="http://schemas.openxmlformats.org/officeDocument/2006/relationships/hyperlink" Target="http://baike.sogou.com/lemma/ShowInnerLink.htm?lemmaId=116078" TargetMode="External"/><Relationship Id="rId159" Type="http://schemas.openxmlformats.org/officeDocument/2006/relationships/oleObject" Target="embeddings/oleObject34.bin"/><Relationship Id="rId324" Type="http://schemas.openxmlformats.org/officeDocument/2006/relationships/image" Target="media/image259.wmf"/><Relationship Id="rId366" Type="http://schemas.openxmlformats.org/officeDocument/2006/relationships/fontTable" Target="fontTable.xml"/><Relationship Id="rId170" Type="http://schemas.openxmlformats.org/officeDocument/2006/relationships/image" Target="media/image105.emf"/><Relationship Id="rId226" Type="http://schemas.openxmlformats.org/officeDocument/2006/relationships/image" Target="media/image161.wmf"/><Relationship Id="rId268" Type="http://schemas.openxmlformats.org/officeDocument/2006/relationships/image" Target="media/image203.wmf"/><Relationship Id="rId32" Type="http://schemas.openxmlformats.org/officeDocument/2006/relationships/image" Target="media/image15.wmf"/><Relationship Id="rId74" Type="http://schemas.openxmlformats.org/officeDocument/2006/relationships/image" Target="media/image31.png"/><Relationship Id="rId128" Type="http://schemas.openxmlformats.org/officeDocument/2006/relationships/oleObject" Target="embeddings/oleObject21.bin"/><Relationship Id="rId335" Type="http://schemas.openxmlformats.org/officeDocument/2006/relationships/image" Target="media/image270.wmf"/><Relationship Id="rId5" Type="http://schemas.openxmlformats.org/officeDocument/2006/relationships/settings" Target="settings.xml"/><Relationship Id="rId181" Type="http://schemas.openxmlformats.org/officeDocument/2006/relationships/image" Target="media/image116.emf"/><Relationship Id="rId237" Type="http://schemas.openxmlformats.org/officeDocument/2006/relationships/image" Target="media/image172.wmf"/><Relationship Id="rId279" Type="http://schemas.openxmlformats.org/officeDocument/2006/relationships/image" Target="media/image214.wmf"/><Relationship Id="rId43" Type="http://schemas.openxmlformats.org/officeDocument/2006/relationships/image" Target="media/image23.png"/><Relationship Id="rId139" Type="http://schemas.openxmlformats.org/officeDocument/2006/relationships/image" Target="media/image88.png"/><Relationship Id="rId290" Type="http://schemas.openxmlformats.org/officeDocument/2006/relationships/image" Target="media/image225.wmf"/><Relationship Id="rId304" Type="http://schemas.openxmlformats.org/officeDocument/2006/relationships/image" Target="media/image239.wmf"/><Relationship Id="rId346" Type="http://schemas.openxmlformats.org/officeDocument/2006/relationships/image" Target="media/image281.wmf"/><Relationship Id="rId85" Type="http://schemas.openxmlformats.org/officeDocument/2006/relationships/image" Target="media/image42.png"/><Relationship Id="rId150" Type="http://schemas.openxmlformats.org/officeDocument/2006/relationships/oleObject" Target="embeddings/oleObject28.bin"/><Relationship Id="rId192" Type="http://schemas.openxmlformats.org/officeDocument/2006/relationships/image" Target="media/image127.emf"/><Relationship Id="rId206" Type="http://schemas.openxmlformats.org/officeDocument/2006/relationships/image" Target="media/image141.wmf"/><Relationship Id="rId248" Type="http://schemas.openxmlformats.org/officeDocument/2006/relationships/image" Target="media/image183.wmf"/><Relationship Id="rId12" Type="http://schemas.openxmlformats.org/officeDocument/2006/relationships/image" Target="media/image5.wmf"/><Relationship Id="rId108" Type="http://schemas.openxmlformats.org/officeDocument/2006/relationships/oleObject" Target="embeddings/Microsoft_Excel_97-2003____2.xls"/><Relationship Id="rId315" Type="http://schemas.openxmlformats.org/officeDocument/2006/relationships/image" Target="media/image250.wmf"/><Relationship Id="rId357" Type="http://schemas.openxmlformats.org/officeDocument/2006/relationships/image" Target="media/image292.wmf"/><Relationship Id="rId54" Type="http://schemas.openxmlformats.org/officeDocument/2006/relationships/hyperlink" Target="http://baike.sogou.com/lemma/ShowInnerLink.htm?lemmaId=53386008" TargetMode="External"/><Relationship Id="rId96" Type="http://schemas.openxmlformats.org/officeDocument/2006/relationships/image" Target="media/image53.png"/><Relationship Id="rId161" Type="http://schemas.openxmlformats.org/officeDocument/2006/relationships/oleObject" Target="embeddings/oleObject36.bin"/><Relationship Id="rId217" Type="http://schemas.openxmlformats.org/officeDocument/2006/relationships/image" Target="media/image152.wmf"/><Relationship Id="rId259" Type="http://schemas.openxmlformats.org/officeDocument/2006/relationships/image" Target="media/image194.wmf"/><Relationship Id="rId23" Type="http://schemas.openxmlformats.org/officeDocument/2006/relationships/oleObject" Target="embeddings/oleObject6.bin"/><Relationship Id="rId119" Type="http://schemas.openxmlformats.org/officeDocument/2006/relationships/image" Target="media/image74.png"/><Relationship Id="rId270" Type="http://schemas.openxmlformats.org/officeDocument/2006/relationships/image" Target="media/image205.wmf"/><Relationship Id="rId326" Type="http://schemas.openxmlformats.org/officeDocument/2006/relationships/image" Target="media/image261.wmf"/><Relationship Id="rId65" Type="http://schemas.openxmlformats.org/officeDocument/2006/relationships/hyperlink" Target="http://baike.sogou.com/lemma/ShowInnerLink.htm?lemmaId=180092" TargetMode="External"/><Relationship Id="rId130" Type="http://schemas.openxmlformats.org/officeDocument/2006/relationships/oleObject" Target="embeddings/oleObject22.bin"/><Relationship Id="rId172" Type="http://schemas.openxmlformats.org/officeDocument/2006/relationships/image" Target="media/image107.emf"/><Relationship Id="rId228" Type="http://schemas.openxmlformats.org/officeDocument/2006/relationships/image" Target="media/image163.wmf"/><Relationship Id="rId281" Type="http://schemas.openxmlformats.org/officeDocument/2006/relationships/image" Target="media/image216.wmf"/><Relationship Id="rId337" Type="http://schemas.openxmlformats.org/officeDocument/2006/relationships/image" Target="media/image272.wmf"/><Relationship Id="rId34" Type="http://schemas.openxmlformats.org/officeDocument/2006/relationships/image" Target="media/image16.wmf"/><Relationship Id="rId76" Type="http://schemas.openxmlformats.org/officeDocument/2006/relationships/image" Target="media/image33.png"/><Relationship Id="rId141" Type="http://schemas.openxmlformats.org/officeDocument/2006/relationships/image" Target="media/image90.png"/><Relationship Id="rId7" Type="http://schemas.openxmlformats.org/officeDocument/2006/relationships/image" Target="media/image1.wmf"/><Relationship Id="rId183" Type="http://schemas.openxmlformats.org/officeDocument/2006/relationships/image" Target="media/image118.emf"/><Relationship Id="rId239" Type="http://schemas.openxmlformats.org/officeDocument/2006/relationships/image" Target="media/image174.wmf"/><Relationship Id="rId250" Type="http://schemas.openxmlformats.org/officeDocument/2006/relationships/image" Target="media/image185.wmf"/><Relationship Id="rId292" Type="http://schemas.openxmlformats.org/officeDocument/2006/relationships/image" Target="media/image227.wmf"/><Relationship Id="rId306" Type="http://schemas.openxmlformats.org/officeDocument/2006/relationships/image" Target="media/image241.wmf"/><Relationship Id="rId45" Type="http://schemas.openxmlformats.org/officeDocument/2006/relationships/oleObject" Target="embeddings/oleObject14.bin"/><Relationship Id="rId87" Type="http://schemas.openxmlformats.org/officeDocument/2006/relationships/image" Target="media/image44.png"/><Relationship Id="rId110" Type="http://schemas.openxmlformats.org/officeDocument/2006/relationships/image" Target="media/image65.png"/><Relationship Id="rId348" Type="http://schemas.openxmlformats.org/officeDocument/2006/relationships/image" Target="media/image283.wmf"/><Relationship Id="rId152" Type="http://schemas.openxmlformats.org/officeDocument/2006/relationships/oleObject" Target="embeddings/oleObject29.bin"/><Relationship Id="rId194" Type="http://schemas.openxmlformats.org/officeDocument/2006/relationships/image" Target="media/image129.emf"/><Relationship Id="rId208" Type="http://schemas.openxmlformats.org/officeDocument/2006/relationships/image" Target="media/image143.wmf"/><Relationship Id="rId261" Type="http://schemas.openxmlformats.org/officeDocument/2006/relationships/image" Target="media/image196.wmf"/><Relationship Id="rId14" Type="http://schemas.openxmlformats.org/officeDocument/2006/relationships/image" Target="media/image6.wmf"/><Relationship Id="rId56" Type="http://schemas.openxmlformats.org/officeDocument/2006/relationships/hyperlink" Target="http://baike.baidu.com/view/793754.htm" TargetMode="External"/><Relationship Id="rId317" Type="http://schemas.openxmlformats.org/officeDocument/2006/relationships/image" Target="media/image252.wmf"/><Relationship Id="rId359" Type="http://schemas.openxmlformats.org/officeDocument/2006/relationships/image" Target="media/image294.wmf"/><Relationship Id="rId98" Type="http://schemas.openxmlformats.org/officeDocument/2006/relationships/image" Target="media/image55.png"/><Relationship Id="rId121" Type="http://schemas.openxmlformats.org/officeDocument/2006/relationships/image" Target="media/image76.png"/><Relationship Id="rId163" Type="http://schemas.openxmlformats.org/officeDocument/2006/relationships/oleObject" Target="embeddings/oleObject38.bin"/><Relationship Id="rId219" Type="http://schemas.openxmlformats.org/officeDocument/2006/relationships/image" Target="media/image154.wmf"/><Relationship Id="rId230" Type="http://schemas.openxmlformats.org/officeDocument/2006/relationships/image" Target="media/image165.wmf"/><Relationship Id="rId25" Type="http://schemas.openxmlformats.org/officeDocument/2006/relationships/oleObject" Target="embeddings/oleObject7.bin"/><Relationship Id="rId67" Type="http://schemas.openxmlformats.org/officeDocument/2006/relationships/image" Target="media/image27.wmf"/><Relationship Id="rId272" Type="http://schemas.openxmlformats.org/officeDocument/2006/relationships/image" Target="media/image207.wmf"/><Relationship Id="rId328" Type="http://schemas.openxmlformats.org/officeDocument/2006/relationships/image" Target="media/image263.wmf"/><Relationship Id="rId132" Type="http://schemas.openxmlformats.org/officeDocument/2006/relationships/oleObject" Target="embeddings/oleObject23.bin"/><Relationship Id="rId174" Type="http://schemas.openxmlformats.org/officeDocument/2006/relationships/image" Target="media/image109.emf"/><Relationship Id="rId220" Type="http://schemas.openxmlformats.org/officeDocument/2006/relationships/image" Target="media/image155.wmf"/><Relationship Id="rId241" Type="http://schemas.openxmlformats.org/officeDocument/2006/relationships/image" Target="media/image176.wmf"/><Relationship Id="rId15" Type="http://schemas.openxmlformats.org/officeDocument/2006/relationships/oleObject" Target="embeddings/oleObject2.bin"/><Relationship Id="rId36" Type="http://schemas.openxmlformats.org/officeDocument/2006/relationships/image" Target="media/image17.wmf"/><Relationship Id="rId57" Type="http://schemas.openxmlformats.org/officeDocument/2006/relationships/hyperlink" Target="http://baike.baidu.com/view/645857.htm" TargetMode="External"/><Relationship Id="rId262" Type="http://schemas.openxmlformats.org/officeDocument/2006/relationships/image" Target="media/image197.wmf"/><Relationship Id="rId283" Type="http://schemas.openxmlformats.org/officeDocument/2006/relationships/image" Target="media/image218.wmf"/><Relationship Id="rId318" Type="http://schemas.openxmlformats.org/officeDocument/2006/relationships/image" Target="media/image253.wmf"/><Relationship Id="rId339" Type="http://schemas.openxmlformats.org/officeDocument/2006/relationships/image" Target="media/image274.wmf"/><Relationship Id="rId78" Type="http://schemas.openxmlformats.org/officeDocument/2006/relationships/image" Target="media/image35.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7.png"/><Relationship Id="rId143" Type="http://schemas.openxmlformats.org/officeDocument/2006/relationships/image" Target="media/image92.emf"/><Relationship Id="rId164" Type="http://schemas.openxmlformats.org/officeDocument/2006/relationships/image" Target="media/image100.png"/><Relationship Id="rId185" Type="http://schemas.openxmlformats.org/officeDocument/2006/relationships/image" Target="media/image120.emf"/><Relationship Id="rId350" Type="http://schemas.openxmlformats.org/officeDocument/2006/relationships/image" Target="media/image285.wmf"/><Relationship Id="rId9" Type="http://schemas.openxmlformats.org/officeDocument/2006/relationships/image" Target="media/image3.emf"/><Relationship Id="rId210" Type="http://schemas.openxmlformats.org/officeDocument/2006/relationships/image" Target="media/image145.wmf"/><Relationship Id="rId26" Type="http://schemas.openxmlformats.org/officeDocument/2006/relationships/image" Target="media/image12.wmf"/><Relationship Id="rId231" Type="http://schemas.openxmlformats.org/officeDocument/2006/relationships/image" Target="media/image166.wmf"/><Relationship Id="rId252" Type="http://schemas.openxmlformats.org/officeDocument/2006/relationships/image" Target="media/image187.wmf"/><Relationship Id="rId273" Type="http://schemas.openxmlformats.org/officeDocument/2006/relationships/image" Target="media/image208.wmf"/><Relationship Id="rId294" Type="http://schemas.openxmlformats.org/officeDocument/2006/relationships/image" Target="media/image229.wmf"/><Relationship Id="rId308" Type="http://schemas.openxmlformats.org/officeDocument/2006/relationships/image" Target="media/image243.wmf"/><Relationship Id="rId329" Type="http://schemas.openxmlformats.org/officeDocument/2006/relationships/image" Target="media/image264.wmf"/><Relationship Id="rId47" Type="http://schemas.openxmlformats.org/officeDocument/2006/relationships/oleObject" Target="embeddings/oleObject15.bin"/><Relationship Id="rId68" Type="http://schemas.openxmlformats.org/officeDocument/2006/relationships/oleObject" Target="embeddings/oleObject17.bin"/><Relationship Id="rId89" Type="http://schemas.openxmlformats.org/officeDocument/2006/relationships/image" Target="media/image46.png"/><Relationship Id="rId112" Type="http://schemas.openxmlformats.org/officeDocument/2006/relationships/image" Target="media/image67.png"/><Relationship Id="rId133" Type="http://schemas.openxmlformats.org/officeDocument/2006/relationships/image" Target="media/image84.wmf"/><Relationship Id="rId154" Type="http://schemas.openxmlformats.org/officeDocument/2006/relationships/oleObject" Target="embeddings/oleObject31.bin"/><Relationship Id="rId175" Type="http://schemas.openxmlformats.org/officeDocument/2006/relationships/image" Target="media/image110.emf"/><Relationship Id="rId340" Type="http://schemas.openxmlformats.org/officeDocument/2006/relationships/image" Target="media/image275.wmf"/><Relationship Id="rId361" Type="http://schemas.openxmlformats.org/officeDocument/2006/relationships/image" Target="media/image296.wmf"/><Relationship Id="rId196" Type="http://schemas.openxmlformats.org/officeDocument/2006/relationships/image" Target="media/image131.emf"/><Relationship Id="rId200" Type="http://schemas.openxmlformats.org/officeDocument/2006/relationships/image" Target="media/image135.jpeg"/><Relationship Id="rId16" Type="http://schemas.openxmlformats.org/officeDocument/2006/relationships/image" Target="media/image7.wmf"/><Relationship Id="rId221" Type="http://schemas.openxmlformats.org/officeDocument/2006/relationships/image" Target="media/image156.wmf"/><Relationship Id="rId242" Type="http://schemas.openxmlformats.org/officeDocument/2006/relationships/image" Target="media/image177.wmf"/><Relationship Id="rId263" Type="http://schemas.openxmlformats.org/officeDocument/2006/relationships/image" Target="media/image198.wmf"/><Relationship Id="rId284" Type="http://schemas.openxmlformats.org/officeDocument/2006/relationships/image" Target="media/image219.wmf"/><Relationship Id="rId319" Type="http://schemas.openxmlformats.org/officeDocument/2006/relationships/image" Target="media/image254.wmf"/><Relationship Id="rId37" Type="http://schemas.openxmlformats.org/officeDocument/2006/relationships/oleObject" Target="embeddings/oleObject13.bin"/><Relationship Id="rId58" Type="http://schemas.openxmlformats.org/officeDocument/2006/relationships/hyperlink" Target="http://baike.baidu.com/view/185250.htm" TargetMode="External"/><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image" Target="media/image78.wmf"/><Relationship Id="rId144" Type="http://schemas.openxmlformats.org/officeDocument/2006/relationships/image" Target="media/image93.png"/><Relationship Id="rId330" Type="http://schemas.openxmlformats.org/officeDocument/2006/relationships/image" Target="media/image265.wmf"/><Relationship Id="rId90" Type="http://schemas.openxmlformats.org/officeDocument/2006/relationships/image" Target="media/image47.png"/><Relationship Id="rId165" Type="http://schemas.openxmlformats.org/officeDocument/2006/relationships/image" Target="media/image101.png"/><Relationship Id="rId186" Type="http://schemas.openxmlformats.org/officeDocument/2006/relationships/image" Target="media/image121.emf"/><Relationship Id="rId351" Type="http://schemas.openxmlformats.org/officeDocument/2006/relationships/image" Target="media/image286.wmf"/><Relationship Id="rId211" Type="http://schemas.openxmlformats.org/officeDocument/2006/relationships/image" Target="media/image146.wmf"/><Relationship Id="rId232" Type="http://schemas.openxmlformats.org/officeDocument/2006/relationships/image" Target="media/image167.wmf"/><Relationship Id="rId253" Type="http://schemas.openxmlformats.org/officeDocument/2006/relationships/image" Target="media/image188.wmf"/><Relationship Id="rId274" Type="http://schemas.openxmlformats.org/officeDocument/2006/relationships/image" Target="media/image209.wmf"/><Relationship Id="rId295" Type="http://schemas.openxmlformats.org/officeDocument/2006/relationships/image" Target="media/image230.wmf"/><Relationship Id="rId309" Type="http://schemas.openxmlformats.org/officeDocument/2006/relationships/image" Target="media/image244.wmf"/><Relationship Id="rId27" Type="http://schemas.openxmlformats.org/officeDocument/2006/relationships/oleObject" Target="embeddings/oleObject8.bin"/><Relationship Id="rId48" Type="http://schemas.openxmlformats.org/officeDocument/2006/relationships/hyperlink" Target="http://baike.sogou.com/lemma/ShowInnerLink.htm?lemmaId=693050" TargetMode="External"/><Relationship Id="rId69" Type="http://schemas.openxmlformats.org/officeDocument/2006/relationships/image" Target="media/image28.wmf"/><Relationship Id="rId113" Type="http://schemas.openxmlformats.org/officeDocument/2006/relationships/image" Target="media/image68.png"/><Relationship Id="rId134" Type="http://schemas.openxmlformats.org/officeDocument/2006/relationships/oleObject" Target="embeddings/oleObject24.bin"/><Relationship Id="rId320" Type="http://schemas.openxmlformats.org/officeDocument/2006/relationships/image" Target="media/image255.wmf"/><Relationship Id="rId80" Type="http://schemas.openxmlformats.org/officeDocument/2006/relationships/image" Target="media/image37.png"/><Relationship Id="rId155" Type="http://schemas.openxmlformats.org/officeDocument/2006/relationships/image" Target="media/image98.wmf"/><Relationship Id="rId176" Type="http://schemas.openxmlformats.org/officeDocument/2006/relationships/image" Target="media/image111.emf"/><Relationship Id="rId197" Type="http://schemas.openxmlformats.org/officeDocument/2006/relationships/image" Target="media/image132.emf"/><Relationship Id="rId341" Type="http://schemas.openxmlformats.org/officeDocument/2006/relationships/image" Target="media/image276.wmf"/><Relationship Id="rId362" Type="http://schemas.openxmlformats.org/officeDocument/2006/relationships/image" Target="media/image297.wmf"/><Relationship Id="rId201" Type="http://schemas.openxmlformats.org/officeDocument/2006/relationships/image" Target="media/image136.wmf"/><Relationship Id="rId222" Type="http://schemas.openxmlformats.org/officeDocument/2006/relationships/image" Target="media/image157.wmf"/><Relationship Id="rId243" Type="http://schemas.openxmlformats.org/officeDocument/2006/relationships/image" Target="media/image178.wmf"/><Relationship Id="rId264" Type="http://schemas.openxmlformats.org/officeDocument/2006/relationships/image" Target="media/image199.wmf"/><Relationship Id="rId285" Type="http://schemas.openxmlformats.org/officeDocument/2006/relationships/image" Target="media/image220.wmf"/><Relationship Id="rId17" Type="http://schemas.openxmlformats.org/officeDocument/2006/relationships/oleObject" Target="embeddings/oleObject3.bin"/><Relationship Id="rId38" Type="http://schemas.openxmlformats.org/officeDocument/2006/relationships/image" Target="media/image18.png"/><Relationship Id="rId59" Type="http://schemas.openxmlformats.org/officeDocument/2006/relationships/image" Target="media/image26.wmf"/><Relationship Id="rId103" Type="http://schemas.openxmlformats.org/officeDocument/2006/relationships/image" Target="media/image60.png"/><Relationship Id="rId124" Type="http://schemas.openxmlformats.org/officeDocument/2006/relationships/oleObject" Target="embeddings/oleObject20.bin"/><Relationship Id="rId310" Type="http://schemas.openxmlformats.org/officeDocument/2006/relationships/image" Target="media/image245.wmf"/><Relationship Id="rId70" Type="http://schemas.openxmlformats.org/officeDocument/2006/relationships/oleObject" Target="embeddings/oleObject18.bin"/><Relationship Id="rId91" Type="http://schemas.openxmlformats.org/officeDocument/2006/relationships/image" Target="media/image48.png"/><Relationship Id="rId145" Type="http://schemas.openxmlformats.org/officeDocument/2006/relationships/image" Target="media/image94.wmf"/><Relationship Id="rId166" Type="http://schemas.openxmlformats.org/officeDocument/2006/relationships/image" Target="media/image102.png"/><Relationship Id="rId187" Type="http://schemas.openxmlformats.org/officeDocument/2006/relationships/image" Target="media/image122.png"/><Relationship Id="rId331" Type="http://schemas.openxmlformats.org/officeDocument/2006/relationships/image" Target="media/image266.wmf"/><Relationship Id="rId352" Type="http://schemas.openxmlformats.org/officeDocument/2006/relationships/image" Target="media/image287.wmf"/><Relationship Id="rId1" Type="http://schemas.openxmlformats.org/officeDocument/2006/relationships/customXml" Target="../customXml/item1.xml"/><Relationship Id="rId212" Type="http://schemas.openxmlformats.org/officeDocument/2006/relationships/image" Target="media/image147.wmf"/><Relationship Id="rId233" Type="http://schemas.openxmlformats.org/officeDocument/2006/relationships/image" Target="media/image168.wmf"/><Relationship Id="rId254" Type="http://schemas.openxmlformats.org/officeDocument/2006/relationships/image" Target="media/image189.wmf"/><Relationship Id="rId28" Type="http://schemas.openxmlformats.org/officeDocument/2006/relationships/image" Target="media/image13.wmf"/><Relationship Id="rId49" Type="http://schemas.openxmlformats.org/officeDocument/2006/relationships/hyperlink" Target="http://baike.sogou.com/lemma/ShowInnerLink.htm?lemmaId=2709819" TargetMode="External"/><Relationship Id="rId114" Type="http://schemas.openxmlformats.org/officeDocument/2006/relationships/image" Target="media/image69.png"/><Relationship Id="rId275" Type="http://schemas.openxmlformats.org/officeDocument/2006/relationships/image" Target="media/image210.wmf"/><Relationship Id="rId296" Type="http://schemas.openxmlformats.org/officeDocument/2006/relationships/image" Target="media/image231.wmf"/><Relationship Id="rId300" Type="http://schemas.openxmlformats.org/officeDocument/2006/relationships/image" Target="media/image235.wmf"/><Relationship Id="rId60" Type="http://schemas.openxmlformats.org/officeDocument/2006/relationships/oleObject" Target="embeddings/oleObject16.bin"/><Relationship Id="rId81" Type="http://schemas.openxmlformats.org/officeDocument/2006/relationships/image" Target="media/image38.png"/><Relationship Id="rId135" Type="http://schemas.openxmlformats.org/officeDocument/2006/relationships/image" Target="media/image85.wmf"/><Relationship Id="rId156" Type="http://schemas.openxmlformats.org/officeDocument/2006/relationships/oleObject" Target="embeddings/oleObject32.bin"/><Relationship Id="rId177" Type="http://schemas.openxmlformats.org/officeDocument/2006/relationships/image" Target="media/image112.emf"/><Relationship Id="rId198" Type="http://schemas.openxmlformats.org/officeDocument/2006/relationships/image" Target="media/image133.emf"/><Relationship Id="rId321" Type="http://schemas.openxmlformats.org/officeDocument/2006/relationships/image" Target="media/image256.wmf"/><Relationship Id="rId342" Type="http://schemas.openxmlformats.org/officeDocument/2006/relationships/image" Target="media/image277.wmf"/><Relationship Id="rId363" Type="http://schemas.openxmlformats.org/officeDocument/2006/relationships/image" Target="media/image298.wmf"/><Relationship Id="rId202" Type="http://schemas.openxmlformats.org/officeDocument/2006/relationships/image" Target="media/image137.wmf"/><Relationship Id="rId223" Type="http://schemas.openxmlformats.org/officeDocument/2006/relationships/image" Target="media/image158.wmf"/><Relationship Id="rId244" Type="http://schemas.openxmlformats.org/officeDocument/2006/relationships/image" Target="media/image179.wmf"/><Relationship Id="rId18" Type="http://schemas.openxmlformats.org/officeDocument/2006/relationships/image" Target="media/image8.wmf"/><Relationship Id="rId39" Type="http://schemas.openxmlformats.org/officeDocument/2006/relationships/image" Target="media/image19.png"/><Relationship Id="rId265" Type="http://schemas.openxmlformats.org/officeDocument/2006/relationships/image" Target="media/image200.wmf"/><Relationship Id="rId286" Type="http://schemas.openxmlformats.org/officeDocument/2006/relationships/image" Target="media/image221.wmf"/><Relationship Id="rId50" Type="http://schemas.openxmlformats.org/officeDocument/2006/relationships/hyperlink" Target="http://baike.sogou.com/lemma/ShowInnerLink.htm?lemmaId=2709819" TargetMode="External"/><Relationship Id="rId104" Type="http://schemas.openxmlformats.org/officeDocument/2006/relationships/image" Target="media/image61.png"/><Relationship Id="rId125" Type="http://schemas.openxmlformats.org/officeDocument/2006/relationships/image" Target="media/image79.png"/><Relationship Id="rId146" Type="http://schemas.openxmlformats.org/officeDocument/2006/relationships/oleObject" Target="embeddings/oleObject26.bin"/><Relationship Id="rId167" Type="http://schemas.openxmlformats.org/officeDocument/2006/relationships/image" Target="media/image103.png"/><Relationship Id="rId188" Type="http://schemas.openxmlformats.org/officeDocument/2006/relationships/image" Target="media/image123.emf"/><Relationship Id="rId311" Type="http://schemas.openxmlformats.org/officeDocument/2006/relationships/image" Target="media/image246.wmf"/><Relationship Id="rId332" Type="http://schemas.openxmlformats.org/officeDocument/2006/relationships/image" Target="media/image267.wmf"/><Relationship Id="rId353" Type="http://schemas.openxmlformats.org/officeDocument/2006/relationships/image" Target="media/image288.wmf"/><Relationship Id="rId71" Type="http://schemas.openxmlformats.org/officeDocument/2006/relationships/image" Target="media/image29.wmf"/><Relationship Id="rId92" Type="http://schemas.openxmlformats.org/officeDocument/2006/relationships/image" Target="media/image49.png"/><Relationship Id="rId213" Type="http://schemas.openxmlformats.org/officeDocument/2006/relationships/image" Target="media/image148.wmf"/><Relationship Id="rId234" Type="http://schemas.openxmlformats.org/officeDocument/2006/relationships/image" Target="media/image169.wmf"/><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90.wmf"/><Relationship Id="rId276" Type="http://schemas.openxmlformats.org/officeDocument/2006/relationships/image" Target="media/image211.wmf"/><Relationship Id="rId297" Type="http://schemas.openxmlformats.org/officeDocument/2006/relationships/image" Target="media/image232.wmf"/><Relationship Id="rId40" Type="http://schemas.openxmlformats.org/officeDocument/2006/relationships/image" Target="media/image20.png"/><Relationship Id="rId115" Type="http://schemas.openxmlformats.org/officeDocument/2006/relationships/image" Target="media/image70.png"/><Relationship Id="rId136" Type="http://schemas.openxmlformats.org/officeDocument/2006/relationships/oleObject" Target="embeddings/oleObject25.bin"/><Relationship Id="rId157" Type="http://schemas.openxmlformats.org/officeDocument/2006/relationships/image" Target="media/image99.wmf"/><Relationship Id="rId178" Type="http://schemas.openxmlformats.org/officeDocument/2006/relationships/image" Target="media/image113.emf"/><Relationship Id="rId301" Type="http://schemas.openxmlformats.org/officeDocument/2006/relationships/image" Target="media/image236.wmf"/><Relationship Id="rId322" Type="http://schemas.openxmlformats.org/officeDocument/2006/relationships/image" Target="media/image257.wmf"/><Relationship Id="rId343" Type="http://schemas.openxmlformats.org/officeDocument/2006/relationships/image" Target="media/image278.wmf"/><Relationship Id="rId364" Type="http://schemas.openxmlformats.org/officeDocument/2006/relationships/image" Target="media/image299.wmf"/><Relationship Id="rId61" Type="http://schemas.openxmlformats.org/officeDocument/2006/relationships/hyperlink" Target="http://baike.sogou.com/lemma/ShowInnerLink.htm?lemmaId=399288&amp;ss_c=ssc.citiao.link" TargetMode="External"/><Relationship Id="rId82" Type="http://schemas.openxmlformats.org/officeDocument/2006/relationships/image" Target="media/image39.png"/><Relationship Id="rId199" Type="http://schemas.openxmlformats.org/officeDocument/2006/relationships/image" Target="media/image134.emf"/><Relationship Id="rId203" Type="http://schemas.openxmlformats.org/officeDocument/2006/relationships/image" Target="media/image138.wmf"/><Relationship Id="rId19" Type="http://schemas.openxmlformats.org/officeDocument/2006/relationships/oleObject" Target="embeddings/oleObject4.bin"/><Relationship Id="rId224" Type="http://schemas.openxmlformats.org/officeDocument/2006/relationships/image" Target="media/image159.wmf"/><Relationship Id="rId245" Type="http://schemas.openxmlformats.org/officeDocument/2006/relationships/image" Target="media/image180.wmf"/><Relationship Id="rId266" Type="http://schemas.openxmlformats.org/officeDocument/2006/relationships/image" Target="media/image201.wmf"/><Relationship Id="rId287" Type="http://schemas.openxmlformats.org/officeDocument/2006/relationships/image" Target="media/image222.wmf"/><Relationship Id="rId30" Type="http://schemas.openxmlformats.org/officeDocument/2006/relationships/image" Target="media/image14.wmf"/><Relationship Id="rId105" Type="http://schemas.openxmlformats.org/officeDocument/2006/relationships/image" Target="media/image62.emf"/><Relationship Id="rId126" Type="http://schemas.openxmlformats.org/officeDocument/2006/relationships/image" Target="media/image80.png"/><Relationship Id="rId147" Type="http://schemas.openxmlformats.org/officeDocument/2006/relationships/image" Target="media/image95.wmf"/><Relationship Id="rId168" Type="http://schemas.openxmlformats.org/officeDocument/2006/relationships/image" Target="media/image104.png"/><Relationship Id="rId312" Type="http://schemas.openxmlformats.org/officeDocument/2006/relationships/image" Target="media/image247.wmf"/><Relationship Id="rId333" Type="http://schemas.openxmlformats.org/officeDocument/2006/relationships/image" Target="media/image268.wmf"/><Relationship Id="rId354" Type="http://schemas.openxmlformats.org/officeDocument/2006/relationships/image" Target="media/image289.wmf"/><Relationship Id="rId51" Type="http://schemas.openxmlformats.org/officeDocument/2006/relationships/hyperlink" Target="http://baike.sogou.com/lemma/ShowInnerLink.htm?lemmaId=693050" TargetMode="External"/><Relationship Id="rId72" Type="http://schemas.openxmlformats.org/officeDocument/2006/relationships/oleObject" Target="embeddings/oleObject19.bin"/><Relationship Id="rId93" Type="http://schemas.openxmlformats.org/officeDocument/2006/relationships/image" Target="media/image50.png"/><Relationship Id="rId189" Type="http://schemas.openxmlformats.org/officeDocument/2006/relationships/image" Target="media/image124.emf"/><Relationship Id="rId3" Type="http://schemas.openxmlformats.org/officeDocument/2006/relationships/styles" Target="styles.xml"/><Relationship Id="rId214" Type="http://schemas.openxmlformats.org/officeDocument/2006/relationships/image" Target="media/image149.wmf"/><Relationship Id="rId235" Type="http://schemas.openxmlformats.org/officeDocument/2006/relationships/image" Target="media/image170.wmf"/><Relationship Id="rId256" Type="http://schemas.openxmlformats.org/officeDocument/2006/relationships/image" Target="media/image191.wmf"/><Relationship Id="rId277" Type="http://schemas.openxmlformats.org/officeDocument/2006/relationships/image" Target="media/image212.wmf"/><Relationship Id="rId298" Type="http://schemas.openxmlformats.org/officeDocument/2006/relationships/image" Target="media/image233.wmf"/><Relationship Id="rId116" Type="http://schemas.openxmlformats.org/officeDocument/2006/relationships/image" Target="media/image71.png"/><Relationship Id="rId137" Type="http://schemas.openxmlformats.org/officeDocument/2006/relationships/image" Target="media/image86.png"/><Relationship Id="rId158" Type="http://schemas.openxmlformats.org/officeDocument/2006/relationships/oleObject" Target="embeddings/oleObject33.bin"/><Relationship Id="rId302" Type="http://schemas.openxmlformats.org/officeDocument/2006/relationships/image" Target="media/image237.wmf"/><Relationship Id="rId323" Type="http://schemas.openxmlformats.org/officeDocument/2006/relationships/image" Target="media/image258.wmf"/><Relationship Id="rId344" Type="http://schemas.openxmlformats.org/officeDocument/2006/relationships/image" Target="media/image279.wmf"/><Relationship Id="rId20" Type="http://schemas.openxmlformats.org/officeDocument/2006/relationships/image" Target="media/image9.wmf"/><Relationship Id="rId41" Type="http://schemas.openxmlformats.org/officeDocument/2006/relationships/image" Target="media/image21.png"/><Relationship Id="rId62" Type="http://schemas.openxmlformats.org/officeDocument/2006/relationships/hyperlink" Target="http://baike.sogou.com/lemma/ShowInnerLink.htm?lemmaId=151934&amp;ss_c=ssc.citiao.link" TargetMode="External"/><Relationship Id="rId83" Type="http://schemas.openxmlformats.org/officeDocument/2006/relationships/image" Target="media/image40.png"/><Relationship Id="rId179" Type="http://schemas.openxmlformats.org/officeDocument/2006/relationships/image" Target="media/image114.emf"/><Relationship Id="rId365" Type="http://schemas.openxmlformats.org/officeDocument/2006/relationships/image" Target="media/image300.wmf"/><Relationship Id="rId190" Type="http://schemas.openxmlformats.org/officeDocument/2006/relationships/image" Target="media/image125.emf"/><Relationship Id="rId204" Type="http://schemas.openxmlformats.org/officeDocument/2006/relationships/image" Target="media/image139.wmf"/><Relationship Id="rId225" Type="http://schemas.openxmlformats.org/officeDocument/2006/relationships/image" Target="media/image160.wmf"/><Relationship Id="rId246" Type="http://schemas.openxmlformats.org/officeDocument/2006/relationships/image" Target="media/image181.wmf"/><Relationship Id="rId267" Type="http://schemas.openxmlformats.org/officeDocument/2006/relationships/image" Target="media/image202.wmf"/><Relationship Id="rId288" Type="http://schemas.openxmlformats.org/officeDocument/2006/relationships/image" Target="media/image223.wmf"/><Relationship Id="rId106" Type="http://schemas.openxmlformats.org/officeDocument/2006/relationships/oleObject" Target="embeddings/Microsoft_Excel_97-2003____1.xls"/><Relationship Id="rId127" Type="http://schemas.openxmlformats.org/officeDocument/2006/relationships/image" Target="media/image81.wmf"/><Relationship Id="rId313" Type="http://schemas.openxmlformats.org/officeDocument/2006/relationships/image" Target="media/image248.wmf"/><Relationship Id="rId10" Type="http://schemas.openxmlformats.org/officeDocument/2006/relationships/package" Target="embeddings/Microsoft_Excel____1.xlsx"/><Relationship Id="rId31" Type="http://schemas.openxmlformats.org/officeDocument/2006/relationships/oleObject" Target="embeddings/oleObject10.bin"/><Relationship Id="rId52" Type="http://schemas.openxmlformats.org/officeDocument/2006/relationships/hyperlink" Target="http://baike.sogou.com/lemma/ShowInnerLink.htm?lemmaId=693050" TargetMode="External"/><Relationship Id="rId73" Type="http://schemas.openxmlformats.org/officeDocument/2006/relationships/image" Target="media/image30.png"/><Relationship Id="rId94" Type="http://schemas.openxmlformats.org/officeDocument/2006/relationships/image" Target="media/image51.png"/><Relationship Id="rId148" Type="http://schemas.openxmlformats.org/officeDocument/2006/relationships/oleObject" Target="embeddings/oleObject27.bin"/><Relationship Id="rId169" Type="http://schemas.openxmlformats.org/officeDocument/2006/relationships/oleObject" Target="embeddings/oleObject39.bin"/><Relationship Id="rId334" Type="http://schemas.openxmlformats.org/officeDocument/2006/relationships/image" Target="media/image269.wmf"/><Relationship Id="rId355" Type="http://schemas.openxmlformats.org/officeDocument/2006/relationships/image" Target="media/image290.wmf"/><Relationship Id="rId4" Type="http://schemas.microsoft.com/office/2007/relationships/stylesWithEffects" Target="stylesWithEffects.xml"/><Relationship Id="rId180" Type="http://schemas.openxmlformats.org/officeDocument/2006/relationships/image" Target="media/image115.emf"/><Relationship Id="rId215" Type="http://schemas.openxmlformats.org/officeDocument/2006/relationships/image" Target="media/image150.wmf"/><Relationship Id="rId236" Type="http://schemas.openxmlformats.org/officeDocument/2006/relationships/image" Target="media/image171.wmf"/><Relationship Id="rId257" Type="http://schemas.openxmlformats.org/officeDocument/2006/relationships/image" Target="media/image192.wmf"/><Relationship Id="rId278" Type="http://schemas.openxmlformats.org/officeDocument/2006/relationships/image" Target="media/image213.wmf"/><Relationship Id="rId303" Type="http://schemas.openxmlformats.org/officeDocument/2006/relationships/image" Target="media/image238.wmf"/><Relationship Id="rId42" Type="http://schemas.openxmlformats.org/officeDocument/2006/relationships/image" Target="media/image22.png"/><Relationship Id="rId84" Type="http://schemas.openxmlformats.org/officeDocument/2006/relationships/image" Target="media/image41.png"/><Relationship Id="rId138" Type="http://schemas.openxmlformats.org/officeDocument/2006/relationships/image" Target="media/image87.png"/><Relationship Id="rId345" Type="http://schemas.openxmlformats.org/officeDocument/2006/relationships/image" Target="media/image280.wmf"/><Relationship Id="rId191" Type="http://schemas.openxmlformats.org/officeDocument/2006/relationships/image" Target="media/image126.emf"/><Relationship Id="rId205" Type="http://schemas.openxmlformats.org/officeDocument/2006/relationships/image" Target="media/image140.wmf"/><Relationship Id="rId247" Type="http://schemas.openxmlformats.org/officeDocument/2006/relationships/image" Target="media/image182.wmf"/><Relationship Id="rId107" Type="http://schemas.openxmlformats.org/officeDocument/2006/relationships/image" Target="media/image63.emf"/><Relationship Id="rId289" Type="http://schemas.openxmlformats.org/officeDocument/2006/relationships/image" Target="media/image224.wmf"/><Relationship Id="rId11" Type="http://schemas.openxmlformats.org/officeDocument/2006/relationships/image" Target="media/image4.emf"/><Relationship Id="rId53" Type="http://schemas.openxmlformats.org/officeDocument/2006/relationships/hyperlink" Target="http://baike.sogou.com/lemma/ShowInnerLink.htm?lemmaId=53386008" TargetMode="External"/><Relationship Id="rId149" Type="http://schemas.openxmlformats.org/officeDocument/2006/relationships/image" Target="media/image96.wmf"/><Relationship Id="rId314" Type="http://schemas.openxmlformats.org/officeDocument/2006/relationships/image" Target="media/image249.wmf"/><Relationship Id="rId356" Type="http://schemas.openxmlformats.org/officeDocument/2006/relationships/image" Target="media/image291.wmf"/><Relationship Id="rId95" Type="http://schemas.openxmlformats.org/officeDocument/2006/relationships/image" Target="media/image52.png"/><Relationship Id="rId160" Type="http://schemas.openxmlformats.org/officeDocument/2006/relationships/oleObject" Target="embeddings/oleObject35.bin"/><Relationship Id="rId216" Type="http://schemas.openxmlformats.org/officeDocument/2006/relationships/image" Target="media/image151.wmf"/><Relationship Id="rId258" Type="http://schemas.openxmlformats.org/officeDocument/2006/relationships/image" Target="media/image193.wmf"/><Relationship Id="rId22" Type="http://schemas.openxmlformats.org/officeDocument/2006/relationships/image" Target="media/image10.wmf"/><Relationship Id="rId64" Type="http://schemas.openxmlformats.org/officeDocument/2006/relationships/hyperlink" Target="http://baike.sogou.com/lemma/ShowInnerLink.htm?lemmaId=392413" TargetMode="External"/><Relationship Id="rId118" Type="http://schemas.openxmlformats.org/officeDocument/2006/relationships/image" Target="media/image73.png"/><Relationship Id="rId325" Type="http://schemas.openxmlformats.org/officeDocument/2006/relationships/image" Target="media/image260.wmf"/><Relationship Id="rId367" Type="http://schemas.openxmlformats.org/officeDocument/2006/relationships/theme" Target="theme/theme1.xml"/><Relationship Id="rId171" Type="http://schemas.openxmlformats.org/officeDocument/2006/relationships/image" Target="media/image106.emf"/><Relationship Id="rId227" Type="http://schemas.openxmlformats.org/officeDocument/2006/relationships/image" Target="media/image162.wmf"/><Relationship Id="rId269" Type="http://schemas.openxmlformats.org/officeDocument/2006/relationships/image" Target="media/image204.wmf"/><Relationship Id="rId33" Type="http://schemas.openxmlformats.org/officeDocument/2006/relationships/oleObject" Target="embeddings/oleObject11.bin"/><Relationship Id="rId129" Type="http://schemas.openxmlformats.org/officeDocument/2006/relationships/image" Target="media/image82.wmf"/><Relationship Id="rId280" Type="http://schemas.openxmlformats.org/officeDocument/2006/relationships/image" Target="media/image215.wmf"/><Relationship Id="rId336" Type="http://schemas.openxmlformats.org/officeDocument/2006/relationships/image" Target="media/image271.wmf"/><Relationship Id="rId75" Type="http://schemas.openxmlformats.org/officeDocument/2006/relationships/image" Target="media/image32.png"/><Relationship Id="rId140" Type="http://schemas.openxmlformats.org/officeDocument/2006/relationships/image" Target="media/image89.png"/><Relationship Id="rId182" Type="http://schemas.openxmlformats.org/officeDocument/2006/relationships/image" Target="media/image117.emf"/><Relationship Id="rId6" Type="http://schemas.openxmlformats.org/officeDocument/2006/relationships/webSettings" Target="webSettings.xml"/><Relationship Id="rId238" Type="http://schemas.openxmlformats.org/officeDocument/2006/relationships/image" Target="media/image173.wmf"/><Relationship Id="rId291" Type="http://schemas.openxmlformats.org/officeDocument/2006/relationships/image" Target="media/image226.wmf"/><Relationship Id="rId305" Type="http://schemas.openxmlformats.org/officeDocument/2006/relationships/image" Target="media/image240.wmf"/><Relationship Id="rId347" Type="http://schemas.openxmlformats.org/officeDocument/2006/relationships/image" Target="media/image282.wmf"/><Relationship Id="rId44" Type="http://schemas.openxmlformats.org/officeDocument/2006/relationships/image" Target="media/image24.wmf"/><Relationship Id="rId86" Type="http://schemas.openxmlformats.org/officeDocument/2006/relationships/image" Target="media/image43.png"/><Relationship Id="rId151" Type="http://schemas.openxmlformats.org/officeDocument/2006/relationships/image" Target="media/image97.wmf"/><Relationship Id="rId193" Type="http://schemas.openxmlformats.org/officeDocument/2006/relationships/image" Target="media/image128.emf"/><Relationship Id="rId207" Type="http://schemas.openxmlformats.org/officeDocument/2006/relationships/image" Target="media/image142.wmf"/><Relationship Id="rId249" Type="http://schemas.openxmlformats.org/officeDocument/2006/relationships/image" Target="media/image184.wmf"/><Relationship Id="rId13" Type="http://schemas.openxmlformats.org/officeDocument/2006/relationships/oleObject" Target="embeddings/oleObject1.bin"/><Relationship Id="rId109" Type="http://schemas.openxmlformats.org/officeDocument/2006/relationships/image" Target="media/image64.png"/><Relationship Id="rId260" Type="http://schemas.openxmlformats.org/officeDocument/2006/relationships/image" Target="media/image195.wmf"/><Relationship Id="rId316" Type="http://schemas.openxmlformats.org/officeDocument/2006/relationships/image" Target="media/image251.wmf"/><Relationship Id="rId55" Type="http://schemas.openxmlformats.org/officeDocument/2006/relationships/hyperlink" Target="http://baike.baidu.com/view/99578.htm" TargetMode="External"/><Relationship Id="rId97" Type="http://schemas.openxmlformats.org/officeDocument/2006/relationships/image" Target="media/image54.png"/><Relationship Id="rId120" Type="http://schemas.openxmlformats.org/officeDocument/2006/relationships/image" Target="media/image75.png"/><Relationship Id="rId358" Type="http://schemas.openxmlformats.org/officeDocument/2006/relationships/image" Target="media/image293.wmf"/><Relationship Id="rId162" Type="http://schemas.openxmlformats.org/officeDocument/2006/relationships/oleObject" Target="embeddings/oleObject37.bin"/><Relationship Id="rId218" Type="http://schemas.openxmlformats.org/officeDocument/2006/relationships/image" Target="media/image153.wmf"/><Relationship Id="rId271" Type="http://schemas.openxmlformats.org/officeDocument/2006/relationships/image" Target="media/image206.wmf"/><Relationship Id="rId24" Type="http://schemas.openxmlformats.org/officeDocument/2006/relationships/image" Target="media/image11.wmf"/><Relationship Id="rId66" Type="http://schemas.openxmlformats.org/officeDocument/2006/relationships/hyperlink" Target="http://baike.sogou.com/lemma/ShowInnerLink.htm?lemmaId=151934" TargetMode="External"/><Relationship Id="rId131" Type="http://schemas.openxmlformats.org/officeDocument/2006/relationships/image" Target="media/image83.wmf"/><Relationship Id="rId327" Type="http://schemas.openxmlformats.org/officeDocument/2006/relationships/image" Target="media/image262.wmf"/><Relationship Id="rId173" Type="http://schemas.openxmlformats.org/officeDocument/2006/relationships/image" Target="media/image108.emf"/><Relationship Id="rId229" Type="http://schemas.openxmlformats.org/officeDocument/2006/relationships/image" Target="media/image164.wmf"/><Relationship Id="rId240" Type="http://schemas.openxmlformats.org/officeDocument/2006/relationships/image" Target="media/image175.wmf"/><Relationship Id="rId35" Type="http://schemas.openxmlformats.org/officeDocument/2006/relationships/oleObject" Target="embeddings/oleObject12.bin"/><Relationship Id="rId77" Type="http://schemas.openxmlformats.org/officeDocument/2006/relationships/image" Target="media/image34.png"/><Relationship Id="rId100" Type="http://schemas.openxmlformats.org/officeDocument/2006/relationships/image" Target="media/image57.png"/><Relationship Id="rId282" Type="http://schemas.openxmlformats.org/officeDocument/2006/relationships/image" Target="media/image217.wmf"/><Relationship Id="rId338" Type="http://schemas.openxmlformats.org/officeDocument/2006/relationships/image" Target="media/image273.wmf"/><Relationship Id="rId8" Type="http://schemas.openxmlformats.org/officeDocument/2006/relationships/image" Target="media/image2.wmf"/><Relationship Id="rId142" Type="http://schemas.openxmlformats.org/officeDocument/2006/relationships/image" Target="media/image91.emf"/><Relationship Id="rId184" Type="http://schemas.openxmlformats.org/officeDocument/2006/relationships/image" Target="media/image119.emf"/><Relationship Id="rId251" Type="http://schemas.openxmlformats.org/officeDocument/2006/relationships/image" Target="media/image186.wmf"/><Relationship Id="rId46" Type="http://schemas.openxmlformats.org/officeDocument/2006/relationships/image" Target="media/image25.wmf"/><Relationship Id="rId293" Type="http://schemas.openxmlformats.org/officeDocument/2006/relationships/image" Target="media/image228.wmf"/><Relationship Id="rId307" Type="http://schemas.openxmlformats.org/officeDocument/2006/relationships/image" Target="media/image242.wmf"/><Relationship Id="rId349" Type="http://schemas.openxmlformats.org/officeDocument/2006/relationships/image" Target="media/image284.wmf"/><Relationship Id="rId88" Type="http://schemas.openxmlformats.org/officeDocument/2006/relationships/image" Target="media/image45.png"/><Relationship Id="rId111" Type="http://schemas.openxmlformats.org/officeDocument/2006/relationships/image" Target="media/image66.png"/><Relationship Id="rId153" Type="http://schemas.openxmlformats.org/officeDocument/2006/relationships/oleObject" Target="embeddings/oleObject30.bin"/><Relationship Id="rId195" Type="http://schemas.openxmlformats.org/officeDocument/2006/relationships/image" Target="media/image130.emf"/><Relationship Id="rId209" Type="http://schemas.openxmlformats.org/officeDocument/2006/relationships/image" Target="media/image144.wmf"/><Relationship Id="rId360" Type="http://schemas.openxmlformats.org/officeDocument/2006/relationships/image" Target="media/image29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69</Pages>
  <Words>5801</Words>
  <Characters>33068</Characters>
  <Application>Microsoft Office Word</Application>
  <DocSecurity>0</DocSecurity>
  <Lines>275</Lines>
  <Paragraphs>77</Paragraphs>
  <ScaleCrop>false</ScaleCrop>
  <Company>MS</Company>
  <LinksUpToDate>false</LinksUpToDate>
  <CharactersWithSpaces>38792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期货品种基础性质研究</dc:title>
  <dc:creator>Fbase</dc:creator>
  <cp:lastModifiedBy>Liu Haodong</cp:lastModifiedBy>
  <cp:revision>1</cp:revision>
  <dcterms:created xsi:type="dcterms:W3CDTF">2014-11-07T04:22:00Z</dcterms:created>
  <dcterms:modified xsi:type="dcterms:W3CDTF">2014-12-23T06:51:00Z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2052-9.1.0.4879</vt:lpwstr>
  </property>
</Properties>
</file>